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屯溪区区级行政权力中介服务</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保留事项清单目录</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（20</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kern w:val="0"/>
          <w:sz w:val="32"/>
          <w:szCs w:val="32"/>
          <w14:textFill>
            <w14:solidFill>
              <w14:schemeClr w14:val="tx1"/>
            </w14:solidFill>
          </w14:textFill>
        </w:rPr>
        <w:t>年本）</w:t>
      </w:r>
    </w:p>
    <w:p>
      <w:pPr>
        <w:keepNext w:val="0"/>
        <w:keepLines w:val="0"/>
        <w:pageBreakBefore w:val="0"/>
        <w:widowControl w:val="0"/>
        <w:kinsoku/>
        <w:wordWrap/>
        <w:overflowPunct/>
        <w:topLinePunct w:val="0"/>
        <w:autoSpaceDE/>
        <w:autoSpaceDN/>
        <w:bidi w:val="0"/>
        <w:adjustRightInd/>
        <w:snapToGrid/>
        <w:spacing w:line="200" w:lineRule="exact"/>
        <w:ind w:right="225" w:rightChars="107" w:firstLine="0" w:firstLineChars="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bl>
      <w:tblPr>
        <w:tblStyle w:val="6"/>
        <w:tblW w:w="9071" w:type="dxa"/>
        <w:jc w:val="center"/>
        <w:shd w:val="clear" w:color="auto" w:fill="auto"/>
        <w:tblLayout w:type="autofit"/>
        <w:tblCellMar>
          <w:top w:w="0" w:type="dxa"/>
          <w:left w:w="0" w:type="dxa"/>
          <w:bottom w:w="0" w:type="dxa"/>
          <w:right w:w="0" w:type="dxa"/>
        </w:tblCellMar>
      </w:tblPr>
      <w:tblGrid>
        <w:gridCol w:w="602"/>
        <w:gridCol w:w="3361"/>
        <w:gridCol w:w="3386"/>
        <w:gridCol w:w="1722"/>
      </w:tblGrid>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一、区发展和改革</w:t>
            </w:r>
            <w:bookmarkStart w:id="0" w:name="_GoBack"/>
            <w:bookmarkEnd w:id="0"/>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委员会</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区级核准权限的企业投资项目的项目申请书审查和评估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企业投资项目核准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固定资产投资项目节能报告评审</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固定资产投资项目节能审查</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二、区文化旅游体育局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高危险性体育项目检核</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经营高危险性体育项目许可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三、区教育局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出具教师资格认定体检证明</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教师资格认定</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四、区民政局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社会团体法定代表人离任审计</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社会团体成立、变更、注销登记及修改章程核准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社会团体注销清算报告审计</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社会团体成立、变更、注销登记及修改章程核准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民办非企业单位法定代表人离任审计</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民办非企业单位成立、变更、注销登记及修改章程核准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民办非企业单位注销清算报告审计</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民办非企业单位成立、变更、注销登记及修改章程核准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全区性社会团体登记验资</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社会团体成立、变更、注销登记及修改章程核准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民办非企业登记验资</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民办非企业单位成立、变更、注销登记及修改章程核准</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五、区住房和城乡建设局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施工图设计文件审查</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建筑工程施工许可证核发</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建筑消防设施检测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建设工程消防验收</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建设工程消防施工图纸审核</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建设工程消防设计审查</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shd w:val="clear" w:color="auto" w:fill="auto"/>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六、区交通运输局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机动车综合性能检测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道路运输经营许可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道路运输车辆燃料消耗量检测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道路运输经营许可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机动车综合性能检测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道路运输经营许可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设计单位的施工图设计</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公路工程施工许可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公路工程竣工验收质量检测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公路、水运（含国家重点）建设项目竣工验收</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监督过程中对公路工程质量进行检测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公路、水运（含国家重点）建设项目竣工验收</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七、区农业农村局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拖拉机、联合收割机驾驶人身体条件证明</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拖拉机、联合收割机登记及驾驶证核发</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shd w:val="clear" w:color="auto" w:fill="auto"/>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八、区水利局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水利工程建设蓄水安全鉴定报告编制</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水利工程政府验收</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水利工程竣工检测报告编制</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水利工程政府验收</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生产建设项目水土保持设施验收技术评估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生产建设项目水土保持方案审批</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行政机关</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水利基建项目初步设计文件编制</w:t>
            </w:r>
          </w:p>
        </w:tc>
        <w:tc>
          <w:tcPr>
            <w:tcW w:w="3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水利基建项目初步设计文件审批</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水库大坝、水闸安全评价报告编制</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水库大坝、水闸安全鉴定</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九、区卫生健康委员会</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出具公共场所卫生检验、检测报告</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公共场所卫生许可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职业病危害放射防护预评价报告</w:t>
            </w:r>
          </w:p>
        </w:tc>
        <w:tc>
          <w:tcPr>
            <w:tcW w:w="33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放射诊疗、放射卫生技术服务机构资质许可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职业病危害放射防护控制效果评价报告</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放射诊疗、放射卫生技术服务机构资质许可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提供放射诊疗设备性能检测报告</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放射诊疗、放射卫生技术服务机构资质许可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5</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辐射工作场所放射防护检测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放射诊疗、放射卫生技术服务机构资质许可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6</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提供个人剂量监测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放射诊疗、放射卫生技术服务机构资质许可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7</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生活饮用水卫生检测报告编制</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饮用水供水单位卫生许可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十、区应急管理局</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shd w:val="clear" w:color="auto" w:fill="auto"/>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安全管理培训</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危险化学品经营许可</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十一、区市场监督管理局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出资人为集体所有制企业或者社团组织、民办非企业单位设立企业法人开业登记、注册资金变更登记验资</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企业登记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r>
        <w:tblPrEx>
          <w:tblCellMar>
            <w:top w:w="0" w:type="dxa"/>
            <w:left w:w="0" w:type="dxa"/>
            <w:bottom w:w="0" w:type="dxa"/>
            <w:right w:w="0" w:type="dxa"/>
          </w:tblCellMar>
        </w:tblPrEx>
        <w:trPr>
          <w:trHeight w:val="283"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十二、区城管执法局</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事项名称</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对应行政权力名称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4"/>
                <w:szCs w:val="24"/>
                <w:u w:val="none"/>
                <w:lang w:val="en-US" w:eastAsia="zh-CN" w:bidi="ar"/>
                <w14:textFill>
                  <w14:solidFill>
                    <w14:schemeClr w14:val="tx1"/>
                  </w14:solidFill>
                </w14:textFill>
              </w:rPr>
              <w:t>委托主体</w:t>
            </w:r>
          </w:p>
        </w:tc>
      </w:tr>
      <w:tr>
        <w:tblPrEx>
          <w:tblCellMar>
            <w:top w:w="0" w:type="dxa"/>
            <w:left w:w="0" w:type="dxa"/>
            <w:bottom w:w="0" w:type="dxa"/>
            <w:right w:w="0" w:type="dxa"/>
          </w:tblCellMar>
        </w:tblPrEx>
        <w:trPr>
          <w:trHeight w:val="283"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排水水质、水量检（预）测</w:t>
            </w:r>
          </w:p>
        </w:tc>
        <w:tc>
          <w:tcPr>
            <w:tcW w:w="3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城镇污水排水及设施处理审批</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行政相对人</w:t>
            </w:r>
          </w:p>
        </w:tc>
      </w:tr>
    </w:tbl>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屯溪区区级行政权力中介服务</w:t>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规范事项清单目录</w:t>
      </w:r>
    </w:p>
    <w:p>
      <w:pPr>
        <w:widowControl/>
        <w:spacing w:line="56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sz w:val="32"/>
          <w:szCs w:val="32"/>
          <w14:textFill>
            <w14:solidFill>
              <w14:schemeClr w14:val="tx1"/>
            </w14:solidFill>
          </w14:textFill>
        </w:rPr>
        <w:t>年本）</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tbl>
      <w:tblPr>
        <w:tblStyle w:val="6"/>
        <w:tblW w:w="9071" w:type="dxa"/>
        <w:jc w:val="center"/>
        <w:shd w:val="clear" w:color="auto" w:fill="auto"/>
        <w:tblLayout w:type="autofit"/>
        <w:tblCellMar>
          <w:top w:w="0" w:type="dxa"/>
          <w:left w:w="0" w:type="dxa"/>
          <w:bottom w:w="0" w:type="dxa"/>
          <w:right w:w="0" w:type="dxa"/>
        </w:tblCellMar>
      </w:tblPr>
      <w:tblGrid>
        <w:gridCol w:w="658"/>
        <w:gridCol w:w="1869"/>
        <w:gridCol w:w="2406"/>
        <w:gridCol w:w="4138"/>
      </w:tblGrid>
      <w:tr>
        <w:tblPrEx>
          <w:tblCellMar>
            <w:top w:w="0" w:type="dxa"/>
            <w:left w:w="0" w:type="dxa"/>
            <w:bottom w:w="0" w:type="dxa"/>
            <w:right w:w="0" w:type="dxa"/>
          </w:tblCellMar>
        </w:tblPrEx>
        <w:trPr>
          <w:trHeight w:val="285" w:hRule="atLeast"/>
          <w:jc w:val="center"/>
        </w:trPr>
        <w:tc>
          <w:tcPr>
            <w:tcW w:w="9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一、区发展和改革委员会</w:t>
            </w:r>
          </w:p>
        </w:tc>
      </w:tr>
      <w:tr>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事项名称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对应行政权力名称</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处理意见</w:t>
            </w:r>
          </w:p>
        </w:tc>
      </w:tr>
      <w:tr>
        <w:tblPrEx>
          <w:tblCellMar>
            <w:top w:w="0" w:type="dxa"/>
            <w:left w:w="0" w:type="dxa"/>
            <w:bottom w:w="0" w:type="dxa"/>
            <w:right w:w="0" w:type="dxa"/>
          </w:tblCellMar>
        </w:tblPrEx>
        <w:trPr>
          <w:trHeight w:val="11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区级核准（备案）权限的企业投资项目的项目申请书编制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企业投资项目核准</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申请人自主组织编制，任何单位和个人不得强制企业委托中介服务机构编制项目申请书；保留审批部门现有的项目申请报告技术评估、评审。</w:t>
            </w:r>
          </w:p>
        </w:tc>
      </w:tr>
      <w:tr>
        <w:tblPrEx>
          <w:tblCellMar>
            <w:top w:w="0" w:type="dxa"/>
            <w:left w:w="0" w:type="dxa"/>
            <w:bottom w:w="0" w:type="dxa"/>
            <w:right w:w="0" w:type="dxa"/>
          </w:tblCellMar>
        </w:tblPrEx>
        <w:trPr>
          <w:trHeight w:val="171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固定资产投资项目节能评估文件编制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固定资产投资项目节能审查</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CellMar>
            <w:top w:w="0" w:type="dxa"/>
            <w:left w:w="0" w:type="dxa"/>
            <w:bottom w:w="0" w:type="dxa"/>
            <w:right w:w="0" w:type="dxa"/>
          </w:tblCellMar>
        </w:tblPrEx>
        <w:trPr>
          <w:trHeight w:val="285" w:hRule="atLeast"/>
          <w:jc w:val="center"/>
        </w:trPr>
        <w:tc>
          <w:tcPr>
            <w:tcW w:w="9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二、区林业局</w:t>
            </w:r>
          </w:p>
        </w:tc>
      </w:tr>
      <w:tr>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事项名称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对应行政权力名称</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处理意见</w:t>
            </w:r>
          </w:p>
        </w:tc>
      </w:tr>
      <w:tr>
        <w:tblPrEx>
          <w:tblCellMar>
            <w:top w:w="0" w:type="dxa"/>
            <w:left w:w="0" w:type="dxa"/>
            <w:bottom w:w="0" w:type="dxa"/>
            <w:right w:w="0" w:type="dxa"/>
          </w:tblCellMar>
        </w:tblPrEx>
        <w:trPr>
          <w:trHeight w:val="171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建设项目使用林地可行性报告编制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建设项目使用林地审核（含临时使用林地审批）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也可委托有关机构编制。审批部门不得以任何形式要求申请人必须委托特定中介机构提供服务。保留审批部门对现有的建设项目使用林地可行性报告技术评估、评审。2公顷以下无需提供可行性报告。</w:t>
            </w:r>
          </w:p>
        </w:tc>
      </w:tr>
      <w:tr>
        <w:tblPrEx>
          <w:tblCellMar>
            <w:top w:w="0" w:type="dxa"/>
            <w:left w:w="0" w:type="dxa"/>
            <w:bottom w:w="0" w:type="dxa"/>
            <w:right w:w="0" w:type="dxa"/>
          </w:tblCellMar>
        </w:tblPrEx>
        <w:trPr>
          <w:trHeight w:val="285" w:hRule="atLeast"/>
          <w:jc w:val="center"/>
        </w:trPr>
        <w:tc>
          <w:tcPr>
            <w:tcW w:w="9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三、区水利局</w:t>
            </w:r>
          </w:p>
        </w:tc>
      </w:tr>
      <w:tr>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事项名称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对应行政权力名称</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处理意见</w:t>
            </w:r>
          </w:p>
        </w:tc>
      </w:tr>
      <w:tr>
        <w:tblPrEx>
          <w:tblCellMar>
            <w:top w:w="0" w:type="dxa"/>
            <w:left w:w="0" w:type="dxa"/>
            <w:bottom w:w="0" w:type="dxa"/>
            <w:right w:w="0"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生产建设项目水土保持方案编制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生产建设项目水土保持方案审批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申请人可按要求自行编制水土保持方案，也可委托有关机构编制，审批部门不得以任何形式要求申请人必须委托特定中介机构提供服务；保留审批部门现有的水土保持方案技术评估、评审。</w:t>
            </w:r>
          </w:p>
        </w:tc>
      </w:tr>
      <w:tr>
        <w:tblPrEx>
          <w:tblCellMar>
            <w:top w:w="0" w:type="dxa"/>
            <w:left w:w="0" w:type="dxa"/>
            <w:bottom w:w="0" w:type="dxa"/>
            <w:right w:w="0"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生产建设项目水土保持监测报告</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生产建设项目水土保持方案审批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申请人可按要求自行编制水土保持监测报告，也可委托有关机构编制，审批部门不得以任何形式要求申请人必须委托特定中介机构提供服务；审批部门完善标准，按要求开展现场核查。</w:t>
            </w:r>
          </w:p>
        </w:tc>
      </w:tr>
      <w:tr>
        <w:tblPrEx>
          <w:tblCellMar>
            <w:top w:w="0" w:type="dxa"/>
            <w:left w:w="0" w:type="dxa"/>
            <w:bottom w:w="0" w:type="dxa"/>
            <w:right w:w="0" w:type="dxa"/>
          </w:tblCellMar>
        </w:tblPrEx>
        <w:trPr>
          <w:trHeight w:val="171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建设项目水资源论证报告书编制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取水许可</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tblPrEx>
          <w:tblCellMar>
            <w:top w:w="0" w:type="dxa"/>
            <w:left w:w="0" w:type="dxa"/>
            <w:bottom w:w="0" w:type="dxa"/>
            <w:right w:w="0"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非防洪建设项目防洪评价报告编制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洪水影响评价审批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申请人可按要求自行编制防洪评价报告，也可委托有关机构编制，部门不得以任何形式要求申请人必须委托特定中介机构提供服务。保留部门现有的防洪评价报告技术评估、评审。</w:t>
            </w:r>
          </w:p>
        </w:tc>
      </w:tr>
      <w:tr>
        <w:tblPrEx>
          <w:shd w:val="clear" w:color="auto" w:fill="auto"/>
          <w:tblCellMar>
            <w:top w:w="0" w:type="dxa"/>
            <w:left w:w="0" w:type="dxa"/>
            <w:bottom w:w="0" w:type="dxa"/>
            <w:right w:w="0"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河道管理范围内建设项目防洪评价</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洪水影响评价审批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申请人可按照要求自行编制防洪评价报告，也可委托有关机构编制，部门不得以任何形式要求申请人必须委托特定中介机构提供服务；保留审批部门现有的防洪评价报告技术评估、评审。</w:t>
            </w:r>
          </w:p>
        </w:tc>
      </w:tr>
      <w:tr>
        <w:tblPrEx>
          <w:shd w:val="clear" w:color="auto" w:fill="auto"/>
          <w:tblCellMar>
            <w:top w:w="0" w:type="dxa"/>
            <w:left w:w="0" w:type="dxa"/>
            <w:bottom w:w="0" w:type="dxa"/>
            <w:right w:w="0"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河道及水工程管理范围内有关活动方案编制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河道及水工程管理范围内涉及防洪及水工程安全活动许可</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申请人可按要求自行编制河道及水工程管理范围内有关活动方案，也可以委托有关机构编制，审批部门不得以任何形式要求申请人必须委托特定中介机构提供服务。</w:t>
            </w:r>
          </w:p>
        </w:tc>
      </w:tr>
      <w:tr>
        <w:tblPrEx>
          <w:tblCellMar>
            <w:top w:w="0" w:type="dxa"/>
            <w:left w:w="0" w:type="dxa"/>
            <w:bottom w:w="0" w:type="dxa"/>
            <w:right w:w="0" w:type="dxa"/>
          </w:tblCellMar>
        </w:tblPrEx>
        <w:trPr>
          <w:trHeight w:val="11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水工程建设规划论证报告编制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水利基建项目初步设计文件审批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申请人可按要求自行编制专题论证报告，也可委托有关机构编制。审批部门不得以任何形式要求申请人必须委托特定中介机构提供服务。</w:t>
            </w:r>
          </w:p>
        </w:tc>
      </w:tr>
      <w:tr>
        <w:tblPrEx>
          <w:shd w:val="clear" w:color="auto" w:fill="auto"/>
          <w:tblCellMar>
            <w:top w:w="0" w:type="dxa"/>
            <w:left w:w="0" w:type="dxa"/>
            <w:bottom w:w="0" w:type="dxa"/>
            <w:right w:w="0" w:type="dxa"/>
          </w:tblCellMar>
        </w:tblPrEx>
        <w:trPr>
          <w:trHeight w:val="285" w:hRule="atLeast"/>
          <w:jc w:val="center"/>
        </w:trPr>
        <w:tc>
          <w:tcPr>
            <w:tcW w:w="9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四、区交通局</w:t>
            </w:r>
          </w:p>
        </w:tc>
      </w:tr>
      <w:tr>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事项名称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对应行政权力名称</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处理意见</w:t>
            </w:r>
          </w:p>
        </w:tc>
      </w:tr>
      <w:tr>
        <w:tblPrEx>
          <w:shd w:val="clear" w:color="auto" w:fill="auto"/>
          <w:tblCellMar>
            <w:top w:w="0" w:type="dxa"/>
            <w:left w:w="0" w:type="dxa"/>
            <w:bottom w:w="0" w:type="dxa"/>
            <w:right w:w="0" w:type="dxa"/>
          </w:tblCellMar>
        </w:tblPrEx>
        <w:trPr>
          <w:trHeight w:val="11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涉路施工活动设计和施工方案编制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涉路施工审批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申请人可自行委托有相应资质的单位编制设计和施工方案，审批部门不得以任何形式要求申请人必须委托特定中介机构提供服务。</w:t>
            </w:r>
          </w:p>
        </w:tc>
      </w:tr>
      <w:tr>
        <w:tblPrEx>
          <w:tblCellMar>
            <w:top w:w="0" w:type="dxa"/>
            <w:left w:w="0" w:type="dxa"/>
            <w:bottom w:w="0" w:type="dxa"/>
            <w:right w:w="0" w:type="dxa"/>
          </w:tblCellMar>
        </w:tblPrEx>
        <w:trPr>
          <w:trHeight w:val="14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保障公路、公路附属设施质量和安全的技术评价报告编制</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涉路施工审批</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申请人可自行组织有关专家或委托有相应工程咨询或设计资质的单位编制技术评级报告，审批部门不得以任何形式要求申请人必须委托特定中介机构提供服务。</w:t>
            </w:r>
          </w:p>
        </w:tc>
      </w:tr>
    </w:tbl>
    <w:p>
      <w:pPr>
        <w:widowControl/>
        <w:spacing w:line="560" w:lineRule="exact"/>
        <w:jc w:val="left"/>
        <w:rPr>
          <w:rFonts w:hint="default" w:ascii="Times New Roman" w:hAnsi="Times New Roman" w:eastAsia="方正小标宋简体" w:cs="Times New Roman"/>
          <w:color w:val="000000" w:themeColor="text1"/>
          <w:sz w:val="44"/>
          <w:szCs w:val="44"/>
          <w14:textFill>
            <w14:solidFill>
              <w14:schemeClr w14:val="tx1"/>
            </w14:solidFill>
          </w14:textFill>
        </w:rPr>
      </w:pPr>
    </w:p>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屯溪区区级行政权力中介服务</w:t>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取消事项清单目录</w:t>
      </w:r>
    </w:p>
    <w:p>
      <w:pPr>
        <w:widowControl/>
        <w:spacing w:line="560" w:lineRule="exact"/>
        <w:jc w:val="center"/>
        <w:rPr>
          <w:rFonts w:hint="default" w:ascii="Times New Roman" w:hAnsi="Times New Roman" w:eastAsia="楷体_GB2312" w:cs="Times New Roman"/>
          <w:color w:val="000000" w:themeColor="text1"/>
          <w:sz w:val="32"/>
          <w:szCs w:val="44"/>
          <w14:textFill>
            <w14:solidFill>
              <w14:schemeClr w14:val="tx1"/>
            </w14:solidFill>
          </w14:textFill>
        </w:rPr>
      </w:pPr>
      <w:r>
        <w:rPr>
          <w:rFonts w:hint="default" w:ascii="Times New Roman" w:hAnsi="Times New Roman" w:eastAsia="楷体_GB2312" w:cs="Times New Roman"/>
          <w:color w:val="000000" w:themeColor="text1"/>
          <w:sz w:val="32"/>
          <w:szCs w:val="44"/>
          <w14:textFill>
            <w14:solidFill>
              <w14:schemeClr w14:val="tx1"/>
            </w14:solidFill>
          </w14:textFill>
        </w:rPr>
        <w:t>（20</w:t>
      </w:r>
      <w:r>
        <w:rPr>
          <w:rFonts w:hint="default" w:ascii="Times New Roman" w:hAnsi="Times New Roman" w:eastAsia="楷体_GB2312" w:cs="Times New Roman"/>
          <w:color w:val="000000" w:themeColor="text1"/>
          <w:sz w:val="32"/>
          <w:szCs w:val="44"/>
          <w:lang w:val="en-US" w:eastAsia="zh-CN"/>
          <w14:textFill>
            <w14:solidFill>
              <w14:schemeClr w14:val="tx1"/>
            </w14:solidFill>
          </w14:textFill>
        </w:rPr>
        <w:t>21</w:t>
      </w:r>
      <w:r>
        <w:rPr>
          <w:rFonts w:hint="default" w:ascii="Times New Roman" w:hAnsi="Times New Roman" w:eastAsia="楷体_GB2312" w:cs="Times New Roman"/>
          <w:color w:val="000000" w:themeColor="text1"/>
          <w:sz w:val="32"/>
          <w:szCs w:val="44"/>
          <w14:textFill>
            <w14:solidFill>
              <w14:schemeClr w14:val="tx1"/>
            </w14:solidFill>
          </w14:textFill>
        </w:rPr>
        <w:t>年本）</w:t>
      </w:r>
    </w:p>
    <w:p>
      <w:pPr>
        <w:keepNext w:val="0"/>
        <w:keepLines w:val="0"/>
        <w:pageBreakBefore w:val="0"/>
        <w:kinsoku/>
        <w:wordWrap/>
        <w:overflowPunct/>
        <w:topLinePunct w:val="0"/>
        <w:autoSpaceDE/>
        <w:autoSpaceDN/>
        <w:bidi w:val="0"/>
        <w:adjustRightInd/>
        <w:snapToGrid/>
        <w:spacing w:line="200" w:lineRule="exact"/>
        <w:ind w:right="225" w:rightChars="107"/>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7"/>
        <w:gridCol w:w="3355"/>
        <w:gridCol w:w="335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9071" w:type="dxa"/>
            <w:gridSpan w:val="4"/>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1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事项名称</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对应行政权力名称</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委托主体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1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1</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拖拉机、联合收割机驾驶员培训</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拖拉机、联合收割机登记及驾驶证核发</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71" w:type="dxa"/>
            <w:gridSpan w:val="4"/>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二、区市场监督管理局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事项名称</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对应行政权力名称</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委托主体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1</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计量器具检定</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对零售商品未使用合格的计量器具或者超出规定的负偏差给消费者造成损失行为的处罚</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2</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企业公示信息抽查审计、验资、咨询</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企业公示信息抽查</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3</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计量纠纷仲裁检定</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计量纠纷调解</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1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4</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产品质量抽查检验</w:t>
            </w:r>
          </w:p>
        </w:tc>
        <w:tc>
          <w:tcPr>
            <w:tcW w:w="33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县级产品质量监督抽查和产品质量定期监督检验</w:t>
            </w:r>
          </w:p>
        </w:tc>
        <w:tc>
          <w:tcPr>
            <w:tcW w:w="15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行政机关</w:t>
            </w:r>
          </w:p>
        </w:tc>
      </w:tr>
    </w:tbl>
    <w:p>
      <w:pPr>
        <w:keepNext w:val="0"/>
        <w:keepLines w:val="0"/>
        <w:pageBreakBefore w:val="0"/>
        <w:kinsoku/>
        <w:wordWrap/>
        <w:overflowPunct/>
        <w:topLinePunct w:val="0"/>
        <w:autoSpaceDE/>
        <w:autoSpaceDN/>
        <w:bidi w:val="0"/>
        <w:adjustRightInd/>
        <w:snapToGrid/>
        <w:spacing w:line="560" w:lineRule="exact"/>
        <w:ind w:right="225" w:rightChars="107"/>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F"/>
    <w:rsid w:val="0000048A"/>
    <w:rsid w:val="00004C0C"/>
    <w:rsid w:val="00007D0A"/>
    <w:rsid w:val="00011260"/>
    <w:rsid w:val="00013A44"/>
    <w:rsid w:val="00016DB9"/>
    <w:rsid w:val="00023E02"/>
    <w:rsid w:val="00027074"/>
    <w:rsid w:val="00036355"/>
    <w:rsid w:val="00040300"/>
    <w:rsid w:val="00045239"/>
    <w:rsid w:val="0005030E"/>
    <w:rsid w:val="00055214"/>
    <w:rsid w:val="00066B78"/>
    <w:rsid w:val="00070FB9"/>
    <w:rsid w:val="00083108"/>
    <w:rsid w:val="000900E7"/>
    <w:rsid w:val="00091407"/>
    <w:rsid w:val="00095B28"/>
    <w:rsid w:val="000C0DF1"/>
    <w:rsid w:val="000C51A1"/>
    <w:rsid w:val="000D52EA"/>
    <w:rsid w:val="000E1DE4"/>
    <w:rsid w:val="000E36DC"/>
    <w:rsid w:val="000E4381"/>
    <w:rsid w:val="000E70F9"/>
    <w:rsid w:val="000F0E62"/>
    <w:rsid w:val="000F3B2D"/>
    <w:rsid w:val="000F453C"/>
    <w:rsid w:val="00113C76"/>
    <w:rsid w:val="00117B34"/>
    <w:rsid w:val="00124CA5"/>
    <w:rsid w:val="00137DC2"/>
    <w:rsid w:val="001463DC"/>
    <w:rsid w:val="001614ED"/>
    <w:rsid w:val="00162B97"/>
    <w:rsid w:val="001632F1"/>
    <w:rsid w:val="00181675"/>
    <w:rsid w:val="001866E2"/>
    <w:rsid w:val="00191AD2"/>
    <w:rsid w:val="001A118A"/>
    <w:rsid w:val="001A3787"/>
    <w:rsid w:val="001A7F1F"/>
    <w:rsid w:val="001B0139"/>
    <w:rsid w:val="001B08EE"/>
    <w:rsid w:val="001D5953"/>
    <w:rsid w:val="001D7C61"/>
    <w:rsid w:val="001F22D4"/>
    <w:rsid w:val="001F69E1"/>
    <w:rsid w:val="00213AD7"/>
    <w:rsid w:val="00220F7B"/>
    <w:rsid w:val="00221167"/>
    <w:rsid w:val="00224513"/>
    <w:rsid w:val="00224F41"/>
    <w:rsid w:val="002308A3"/>
    <w:rsid w:val="00242465"/>
    <w:rsid w:val="0024491D"/>
    <w:rsid w:val="00244DBA"/>
    <w:rsid w:val="00247A60"/>
    <w:rsid w:val="00247C57"/>
    <w:rsid w:val="0026058D"/>
    <w:rsid w:val="00261567"/>
    <w:rsid w:val="002650F6"/>
    <w:rsid w:val="00292B8E"/>
    <w:rsid w:val="00294B4A"/>
    <w:rsid w:val="00295345"/>
    <w:rsid w:val="002C2AD2"/>
    <w:rsid w:val="002C4F8A"/>
    <w:rsid w:val="002C6480"/>
    <w:rsid w:val="002E6265"/>
    <w:rsid w:val="002E638B"/>
    <w:rsid w:val="002F1E32"/>
    <w:rsid w:val="002F21F8"/>
    <w:rsid w:val="002F5100"/>
    <w:rsid w:val="00310D6A"/>
    <w:rsid w:val="00315588"/>
    <w:rsid w:val="0031598B"/>
    <w:rsid w:val="00316815"/>
    <w:rsid w:val="0032013A"/>
    <w:rsid w:val="003244DB"/>
    <w:rsid w:val="00324CB1"/>
    <w:rsid w:val="0033056B"/>
    <w:rsid w:val="0033079A"/>
    <w:rsid w:val="00332BBB"/>
    <w:rsid w:val="00333001"/>
    <w:rsid w:val="003704E2"/>
    <w:rsid w:val="00370B3F"/>
    <w:rsid w:val="003777AE"/>
    <w:rsid w:val="00380AB8"/>
    <w:rsid w:val="00381E40"/>
    <w:rsid w:val="00382D01"/>
    <w:rsid w:val="003859BB"/>
    <w:rsid w:val="00390927"/>
    <w:rsid w:val="00397297"/>
    <w:rsid w:val="003A0CF5"/>
    <w:rsid w:val="003A3985"/>
    <w:rsid w:val="003B25DD"/>
    <w:rsid w:val="003B2774"/>
    <w:rsid w:val="003B351B"/>
    <w:rsid w:val="003B5042"/>
    <w:rsid w:val="003B53D1"/>
    <w:rsid w:val="003B6EC7"/>
    <w:rsid w:val="003C06ED"/>
    <w:rsid w:val="003D56A1"/>
    <w:rsid w:val="003E1272"/>
    <w:rsid w:val="003E341D"/>
    <w:rsid w:val="003E5AD9"/>
    <w:rsid w:val="003F2394"/>
    <w:rsid w:val="003F3DC3"/>
    <w:rsid w:val="004024A3"/>
    <w:rsid w:val="004048FA"/>
    <w:rsid w:val="00405D26"/>
    <w:rsid w:val="00414AC0"/>
    <w:rsid w:val="0041703F"/>
    <w:rsid w:val="004307A1"/>
    <w:rsid w:val="004403A9"/>
    <w:rsid w:val="0044681B"/>
    <w:rsid w:val="004568B6"/>
    <w:rsid w:val="00461830"/>
    <w:rsid w:val="00466569"/>
    <w:rsid w:val="00474DB7"/>
    <w:rsid w:val="00480606"/>
    <w:rsid w:val="004839A5"/>
    <w:rsid w:val="00490236"/>
    <w:rsid w:val="004A2C5F"/>
    <w:rsid w:val="004B0F9B"/>
    <w:rsid w:val="004B1F88"/>
    <w:rsid w:val="004B498F"/>
    <w:rsid w:val="004D5D3A"/>
    <w:rsid w:val="004D6EBE"/>
    <w:rsid w:val="004E0D30"/>
    <w:rsid w:val="004E53B1"/>
    <w:rsid w:val="004E5EA0"/>
    <w:rsid w:val="004F14D0"/>
    <w:rsid w:val="004F7DD1"/>
    <w:rsid w:val="00512EC3"/>
    <w:rsid w:val="005308B0"/>
    <w:rsid w:val="00531404"/>
    <w:rsid w:val="00534B61"/>
    <w:rsid w:val="0055418B"/>
    <w:rsid w:val="00555CE2"/>
    <w:rsid w:val="00566B4F"/>
    <w:rsid w:val="00574A78"/>
    <w:rsid w:val="005777CC"/>
    <w:rsid w:val="00583B2D"/>
    <w:rsid w:val="005909B0"/>
    <w:rsid w:val="005A5A90"/>
    <w:rsid w:val="005C11FB"/>
    <w:rsid w:val="005C19E0"/>
    <w:rsid w:val="005C69BB"/>
    <w:rsid w:val="005E3952"/>
    <w:rsid w:val="005E5EA9"/>
    <w:rsid w:val="006248EC"/>
    <w:rsid w:val="00634B64"/>
    <w:rsid w:val="00635EF3"/>
    <w:rsid w:val="00640DB4"/>
    <w:rsid w:val="00643803"/>
    <w:rsid w:val="00653F60"/>
    <w:rsid w:val="006648EA"/>
    <w:rsid w:val="00667EF1"/>
    <w:rsid w:val="00684910"/>
    <w:rsid w:val="00684A15"/>
    <w:rsid w:val="00686882"/>
    <w:rsid w:val="006877C4"/>
    <w:rsid w:val="006922AF"/>
    <w:rsid w:val="00694002"/>
    <w:rsid w:val="006A54B6"/>
    <w:rsid w:val="006A5978"/>
    <w:rsid w:val="006B607C"/>
    <w:rsid w:val="006C2353"/>
    <w:rsid w:val="006D453A"/>
    <w:rsid w:val="006E2EA5"/>
    <w:rsid w:val="006E6138"/>
    <w:rsid w:val="00703812"/>
    <w:rsid w:val="0070455B"/>
    <w:rsid w:val="00714AB0"/>
    <w:rsid w:val="007153BD"/>
    <w:rsid w:val="007170D4"/>
    <w:rsid w:val="00721318"/>
    <w:rsid w:val="00723A5E"/>
    <w:rsid w:val="00724289"/>
    <w:rsid w:val="007419D1"/>
    <w:rsid w:val="00744FEA"/>
    <w:rsid w:val="00745C2A"/>
    <w:rsid w:val="00750D9D"/>
    <w:rsid w:val="0075146F"/>
    <w:rsid w:val="00752FEB"/>
    <w:rsid w:val="00764875"/>
    <w:rsid w:val="0077404D"/>
    <w:rsid w:val="00774367"/>
    <w:rsid w:val="00775BEE"/>
    <w:rsid w:val="00777631"/>
    <w:rsid w:val="00785A40"/>
    <w:rsid w:val="00792285"/>
    <w:rsid w:val="00796371"/>
    <w:rsid w:val="00797133"/>
    <w:rsid w:val="007A0032"/>
    <w:rsid w:val="007A7F34"/>
    <w:rsid w:val="007B37E3"/>
    <w:rsid w:val="007C4DE3"/>
    <w:rsid w:val="007C5DF0"/>
    <w:rsid w:val="007D4D53"/>
    <w:rsid w:val="007E0D0E"/>
    <w:rsid w:val="007E7B6D"/>
    <w:rsid w:val="007F6580"/>
    <w:rsid w:val="007F6956"/>
    <w:rsid w:val="00804776"/>
    <w:rsid w:val="00804BB2"/>
    <w:rsid w:val="00806C15"/>
    <w:rsid w:val="008269F3"/>
    <w:rsid w:val="00841A72"/>
    <w:rsid w:val="00842AA4"/>
    <w:rsid w:val="00846EFF"/>
    <w:rsid w:val="0085232D"/>
    <w:rsid w:val="00853E8B"/>
    <w:rsid w:val="00856858"/>
    <w:rsid w:val="00857317"/>
    <w:rsid w:val="00860C77"/>
    <w:rsid w:val="00862785"/>
    <w:rsid w:val="00865232"/>
    <w:rsid w:val="008776A0"/>
    <w:rsid w:val="00881DA6"/>
    <w:rsid w:val="00881FFD"/>
    <w:rsid w:val="00883659"/>
    <w:rsid w:val="00884085"/>
    <w:rsid w:val="00884B98"/>
    <w:rsid w:val="0089236B"/>
    <w:rsid w:val="008972DA"/>
    <w:rsid w:val="008A3F2F"/>
    <w:rsid w:val="008A7CAD"/>
    <w:rsid w:val="008B0489"/>
    <w:rsid w:val="008B0AC5"/>
    <w:rsid w:val="008B0C4E"/>
    <w:rsid w:val="008B5248"/>
    <w:rsid w:val="008B6F05"/>
    <w:rsid w:val="008C1576"/>
    <w:rsid w:val="008D0BF3"/>
    <w:rsid w:val="008D4BFB"/>
    <w:rsid w:val="008F36C1"/>
    <w:rsid w:val="008F3D21"/>
    <w:rsid w:val="008F4B60"/>
    <w:rsid w:val="008F4CE2"/>
    <w:rsid w:val="00906BCA"/>
    <w:rsid w:val="00921722"/>
    <w:rsid w:val="00921BFB"/>
    <w:rsid w:val="0092337C"/>
    <w:rsid w:val="009250D1"/>
    <w:rsid w:val="0093776C"/>
    <w:rsid w:val="00947E99"/>
    <w:rsid w:val="00950DFF"/>
    <w:rsid w:val="00952D4A"/>
    <w:rsid w:val="009540D9"/>
    <w:rsid w:val="00955FBC"/>
    <w:rsid w:val="009620F4"/>
    <w:rsid w:val="00966445"/>
    <w:rsid w:val="00972834"/>
    <w:rsid w:val="00975CB6"/>
    <w:rsid w:val="00975E20"/>
    <w:rsid w:val="00976893"/>
    <w:rsid w:val="0098557C"/>
    <w:rsid w:val="00985603"/>
    <w:rsid w:val="0099235B"/>
    <w:rsid w:val="00992885"/>
    <w:rsid w:val="009A6AFC"/>
    <w:rsid w:val="009B030A"/>
    <w:rsid w:val="009B61BF"/>
    <w:rsid w:val="009C701D"/>
    <w:rsid w:val="009C75E5"/>
    <w:rsid w:val="009D5E1D"/>
    <w:rsid w:val="009D7940"/>
    <w:rsid w:val="009E7375"/>
    <w:rsid w:val="00A050DA"/>
    <w:rsid w:val="00A06617"/>
    <w:rsid w:val="00A227BE"/>
    <w:rsid w:val="00A323B0"/>
    <w:rsid w:val="00A35F0D"/>
    <w:rsid w:val="00A42FB3"/>
    <w:rsid w:val="00A47136"/>
    <w:rsid w:val="00A51701"/>
    <w:rsid w:val="00A521C5"/>
    <w:rsid w:val="00A64C7A"/>
    <w:rsid w:val="00A77D0D"/>
    <w:rsid w:val="00A810AF"/>
    <w:rsid w:val="00A83A4A"/>
    <w:rsid w:val="00A96317"/>
    <w:rsid w:val="00AB6C00"/>
    <w:rsid w:val="00AC2C91"/>
    <w:rsid w:val="00AC4672"/>
    <w:rsid w:val="00AC4AEA"/>
    <w:rsid w:val="00AD7F5A"/>
    <w:rsid w:val="00AE2B00"/>
    <w:rsid w:val="00AE3377"/>
    <w:rsid w:val="00AE387A"/>
    <w:rsid w:val="00AE492B"/>
    <w:rsid w:val="00AF2B52"/>
    <w:rsid w:val="00B01A9A"/>
    <w:rsid w:val="00B0444F"/>
    <w:rsid w:val="00B1378D"/>
    <w:rsid w:val="00B204A6"/>
    <w:rsid w:val="00B2105A"/>
    <w:rsid w:val="00B41508"/>
    <w:rsid w:val="00B45BA1"/>
    <w:rsid w:val="00B524AD"/>
    <w:rsid w:val="00B66916"/>
    <w:rsid w:val="00B75FE9"/>
    <w:rsid w:val="00B852A8"/>
    <w:rsid w:val="00B864D3"/>
    <w:rsid w:val="00B900B7"/>
    <w:rsid w:val="00B927E7"/>
    <w:rsid w:val="00BA4799"/>
    <w:rsid w:val="00BA5F11"/>
    <w:rsid w:val="00BD0CBF"/>
    <w:rsid w:val="00BE3052"/>
    <w:rsid w:val="00BF7FAD"/>
    <w:rsid w:val="00C10B21"/>
    <w:rsid w:val="00C17C26"/>
    <w:rsid w:val="00C22B98"/>
    <w:rsid w:val="00C25209"/>
    <w:rsid w:val="00C525ED"/>
    <w:rsid w:val="00C53042"/>
    <w:rsid w:val="00C7043C"/>
    <w:rsid w:val="00C72056"/>
    <w:rsid w:val="00C73355"/>
    <w:rsid w:val="00C74B6D"/>
    <w:rsid w:val="00CA1C89"/>
    <w:rsid w:val="00CB71C4"/>
    <w:rsid w:val="00CC3A5B"/>
    <w:rsid w:val="00CD2034"/>
    <w:rsid w:val="00CE6E5A"/>
    <w:rsid w:val="00CF03F9"/>
    <w:rsid w:val="00CF7BB4"/>
    <w:rsid w:val="00D0232A"/>
    <w:rsid w:val="00D042EF"/>
    <w:rsid w:val="00D51CC1"/>
    <w:rsid w:val="00D60499"/>
    <w:rsid w:val="00D6474F"/>
    <w:rsid w:val="00D65E16"/>
    <w:rsid w:val="00D80561"/>
    <w:rsid w:val="00D82767"/>
    <w:rsid w:val="00D87B95"/>
    <w:rsid w:val="00DB32E3"/>
    <w:rsid w:val="00DB4978"/>
    <w:rsid w:val="00DB6AF5"/>
    <w:rsid w:val="00DC0EC8"/>
    <w:rsid w:val="00DD10C0"/>
    <w:rsid w:val="00DE1FD6"/>
    <w:rsid w:val="00DE4DB7"/>
    <w:rsid w:val="00DE6924"/>
    <w:rsid w:val="00E3337D"/>
    <w:rsid w:val="00E400D4"/>
    <w:rsid w:val="00E43CAF"/>
    <w:rsid w:val="00E478F9"/>
    <w:rsid w:val="00E514FC"/>
    <w:rsid w:val="00E5407F"/>
    <w:rsid w:val="00E563EC"/>
    <w:rsid w:val="00E65600"/>
    <w:rsid w:val="00E669C3"/>
    <w:rsid w:val="00E7270E"/>
    <w:rsid w:val="00E73782"/>
    <w:rsid w:val="00E85830"/>
    <w:rsid w:val="00EA52AB"/>
    <w:rsid w:val="00EC0C5B"/>
    <w:rsid w:val="00EC5AAD"/>
    <w:rsid w:val="00EF0BB5"/>
    <w:rsid w:val="00EF6784"/>
    <w:rsid w:val="00F0741F"/>
    <w:rsid w:val="00F10FD4"/>
    <w:rsid w:val="00F12DEC"/>
    <w:rsid w:val="00F26EEE"/>
    <w:rsid w:val="00F35DC8"/>
    <w:rsid w:val="00F41333"/>
    <w:rsid w:val="00F506EB"/>
    <w:rsid w:val="00F53A63"/>
    <w:rsid w:val="00F53B91"/>
    <w:rsid w:val="00F71C81"/>
    <w:rsid w:val="00F73096"/>
    <w:rsid w:val="00F7560F"/>
    <w:rsid w:val="00F77E50"/>
    <w:rsid w:val="00F92D6E"/>
    <w:rsid w:val="00F9671D"/>
    <w:rsid w:val="00F97251"/>
    <w:rsid w:val="00FB102F"/>
    <w:rsid w:val="00FB492D"/>
    <w:rsid w:val="00FC534A"/>
    <w:rsid w:val="00FC6912"/>
    <w:rsid w:val="00FD1A23"/>
    <w:rsid w:val="00FD6771"/>
    <w:rsid w:val="00FE60AC"/>
    <w:rsid w:val="00FF0FFB"/>
    <w:rsid w:val="1D5B4E31"/>
    <w:rsid w:val="20C36C84"/>
    <w:rsid w:val="24D479C0"/>
    <w:rsid w:val="277C3AB5"/>
    <w:rsid w:val="2AF55B29"/>
    <w:rsid w:val="2B047176"/>
    <w:rsid w:val="41070042"/>
    <w:rsid w:val="47631AC0"/>
    <w:rsid w:val="4C303794"/>
    <w:rsid w:val="51D74326"/>
    <w:rsid w:val="5D1826BD"/>
    <w:rsid w:val="67DE4165"/>
    <w:rsid w:val="7A48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60</Words>
  <Characters>347</Characters>
  <Lines>2</Lines>
  <Paragraphs>1</Paragraphs>
  <TotalTime>6</TotalTime>
  <ScaleCrop>false</ScaleCrop>
  <LinksUpToDate>false</LinksUpToDate>
  <CharactersWithSpaces>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2019-12-05T12:36:00Z</dcterms:created>
  <dc:creator>微软用户</dc:creator>
  <cp:lastModifiedBy>guoping</cp:lastModifiedBy>
  <dcterms:modified xsi:type="dcterms:W3CDTF">2021-05-28T15:20:52Z</dcterms:modified>
  <dc:title>关于公布黄山市市级行政权力中介服务清单目录（2019年本）的通知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421342415_cloud</vt:lpwstr>
  </property>
  <property fmtid="{D5CDD505-2E9C-101B-9397-08002B2CF9AE}" pid="4" name="ICV">
    <vt:lpwstr>5C60E21A6D604B7AA249D43CBF17945A</vt:lpwstr>
  </property>
</Properties>
</file>