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1B1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eastAsia="黑体" w:cs="Times New Roman"/>
          <w:color w:val="auto"/>
          <w:kern w:val="0"/>
          <w:sz w:val="32"/>
          <w:szCs w:val="32"/>
          <w:highlight w:val="none"/>
          <w:shd w:val="clear" w:fill="FFFFFF"/>
          <w:lang w:val="en-US" w:eastAsia="zh-CN" w:bidi="ar"/>
        </w:rPr>
      </w:pPr>
      <w:r>
        <w:rPr>
          <w:rFonts w:hint="eastAsia" w:ascii="Times New Roman" w:hAnsi="Times New Roman" w:eastAsia="黑体" w:cs="Times New Roman"/>
          <w:color w:val="auto"/>
          <w:kern w:val="0"/>
          <w:sz w:val="32"/>
          <w:szCs w:val="32"/>
          <w:highlight w:val="none"/>
          <w:shd w:val="clear" w:fill="FFFFFF"/>
          <w:lang w:val="en-US" w:eastAsia="zh-CN" w:bidi="ar"/>
        </w:rPr>
        <w:t>一、</w:t>
      </w:r>
      <w:r>
        <w:rPr>
          <w:rFonts w:hint="default" w:ascii="Times New Roman" w:hAnsi="Times New Roman" w:eastAsia="黑体" w:cs="Times New Roman"/>
          <w:color w:val="auto"/>
          <w:kern w:val="0"/>
          <w:sz w:val="32"/>
          <w:szCs w:val="32"/>
          <w:highlight w:val="none"/>
          <w:shd w:val="clear" w:fill="FFFFFF"/>
          <w:lang w:val="en-US" w:eastAsia="zh-CN" w:bidi="ar"/>
        </w:rPr>
        <w:t>适龄儿童、少年因身体状况需要延缓入学或者休学审批</w:t>
      </w:r>
    </w:p>
    <w:p w14:paraId="2931161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eastAsia="黑体" w:cs="Times New Roman"/>
          <w:color w:val="auto"/>
          <w:kern w:val="0"/>
          <w:sz w:val="32"/>
          <w:szCs w:val="32"/>
          <w:highlight w:val="none"/>
          <w:shd w:val="clear" w:fill="FFFFFF"/>
          <w:lang w:val="en-US" w:eastAsia="zh-CN" w:bidi="ar"/>
        </w:rPr>
      </w:pPr>
      <w:r>
        <w:rPr>
          <w:rFonts w:hint="default" w:ascii="Times New Roman" w:hAnsi="Times New Roman" w:eastAsia="黑体" w:cs="Times New Roman"/>
          <w:color w:val="auto"/>
          <w:kern w:val="0"/>
          <w:sz w:val="32"/>
          <w:szCs w:val="32"/>
          <w:highlight w:val="none"/>
          <w:shd w:val="clear" w:fill="FFFFFF"/>
          <w:lang w:val="en-US" w:eastAsia="zh-CN" w:bidi="ar"/>
        </w:rPr>
        <w:t>事中事后监管细则</w:t>
      </w:r>
    </w:p>
    <w:p w14:paraId="20F022E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eastAsia="黑体" w:cs="Times New Roman"/>
          <w:color w:val="auto"/>
          <w:kern w:val="0"/>
          <w:sz w:val="32"/>
          <w:szCs w:val="32"/>
          <w:highlight w:val="none"/>
          <w:shd w:val="clear" w:fill="FFFFFF"/>
          <w:lang w:val="en-US" w:eastAsia="zh-CN" w:bidi="ar"/>
        </w:rPr>
      </w:pPr>
      <w:r>
        <w:rPr>
          <w:rFonts w:hint="default" w:ascii="Times New Roman" w:hAnsi="Times New Roman" w:eastAsia="黑体" w:cs="Times New Roman"/>
          <w:color w:val="auto"/>
          <w:kern w:val="0"/>
          <w:sz w:val="32"/>
          <w:szCs w:val="32"/>
          <w:highlight w:val="none"/>
          <w:shd w:val="clear" w:fill="FFFFFF"/>
          <w:lang w:val="en-US" w:eastAsia="zh-CN" w:bidi="ar"/>
        </w:rPr>
        <w:t>（行政许可）</w:t>
      </w:r>
    </w:p>
    <w:p w14:paraId="161BC41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为深入推进简政放权、放管结合、优化服务，加强民办学校的综合审批事中事后监管工作，规范行政行为，根据相关法律法规和《安徽省政府权力运行监督管理办法》，结合我区镇（街）适龄儿童、少年因身体状况需要延缓入学或者休学审批许可工作实际，制定本监管细则。</w:t>
      </w:r>
    </w:p>
    <w:p w14:paraId="7C6E6CF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本细则对应《屯溪区镇（街道）审批事项清单》行政许可类第1项，项目名称：适龄儿童、少年因身体状况需要延缓入学或者休学审批。</w:t>
      </w:r>
    </w:p>
    <w:p w14:paraId="7E59C0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bCs/>
          <w:color w:val="auto"/>
          <w:kern w:val="0"/>
          <w:sz w:val="32"/>
          <w:szCs w:val="32"/>
          <w:highlight w:val="none"/>
          <w:shd w:val="clear" w:fill="FFFFFF"/>
          <w:lang w:val="en-US" w:eastAsia="zh-CN" w:bidi="ar"/>
        </w:rPr>
        <w:t>一、基本原则</w:t>
      </w:r>
    </w:p>
    <w:p w14:paraId="1D0A1B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shd w:val="clear" w:fill="FFFFFF"/>
          <w:lang w:val="en-US" w:eastAsia="zh-CN" w:bidi="ar"/>
        </w:rPr>
        <w:t>（一）</w:t>
      </w:r>
      <w:r>
        <w:rPr>
          <w:rFonts w:hint="default" w:ascii="Times New Roman" w:hAnsi="Times New Roman" w:eastAsia="仿宋_GB2312" w:cs="Times New Roman"/>
          <w:color w:val="auto"/>
          <w:kern w:val="0"/>
          <w:sz w:val="32"/>
          <w:szCs w:val="32"/>
          <w:highlight w:val="none"/>
          <w:shd w:val="clear" w:fill="FFFFFF"/>
          <w:lang w:val="en-US" w:eastAsia="zh-CN" w:bidi="ar"/>
        </w:rPr>
        <w:t>坚持“法无授权不可为、法定职权必须为”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14:paraId="2D98F86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仿宋_GB2312" w:cs="Times New Roman"/>
          <w:color w:val="auto"/>
          <w:kern w:val="0"/>
          <w:sz w:val="32"/>
          <w:szCs w:val="32"/>
          <w:highlight w:val="none"/>
          <w:shd w:val="clear" w:fill="FFFFFF"/>
          <w:lang w:val="en-US" w:eastAsia="zh-CN" w:bidi="ar"/>
        </w:rPr>
      </w:pPr>
      <w:r>
        <w:rPr>
          <w:rFonts w:hint="default" w:ascii="Times New Roman" w:hAnsi="Times New Roman" w:eastAsia="仿宋_GB2312" w:cs="Times New Roman"/>
          <w:b/>
          <w:bCs/>
          <w:color w:val="auto"/>
          <w:kern w:val="0"/>
          <w:sz w:val="32"/>
          <w:szCs w:val="32"/>
          <w:highlight w:val="none"/>
          <w:shd w:val="clear" w:fill="FFFFFF"/>
          <w:lang w:val="en-US" w:eastAsia="zh-CN" w:bidi="ar"/>
        </w:rPr>
        <w:t>（二）</w:t>
      </w:r>
      <w:r>
        <w:rPr>
          <w:rFonts w:hint="default" w:ascii="Times New Roman" w:hAnsi="Times New Roman" w:eastAsia="仿宋_GB2312" w:cs="Times New Roman"/>
          <w:color w:val="auto"/>
          <w:kern w:val="0"/>
          <w:sz w:val="32"/>
          <w:szCs w:val="32"/>
          <w:highlight w:val="none"/>
          <w:shd w:val="clear" w:fill="FFFFFF"/>
          <w:lang w:val="en-US" w:eastAsia="zh-CN" w:bidi="ar"/>
        </w:rPr>
        <w:t>坚持“全程监管、全程服务”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r>
        <w:rPr>
          <w:rFonts w:hint="default" w:ascii="Times New Roman" w:hAnsi="Times New Roman" w:cs="Times New Roman"/>
          <w:color w:val="auto"/>
          <w:kern w:val="0"/>
          <w:sz w:val="32"/>
          <w:szCs w:val="32"/>
          <w:highlight w:val="none"/>
          <w:shd w:val="clear" w:fill="FFFFFF"/>
          <w:lang w:val="en-US" w:eastAsia="zh-CN" w:bidi="ar"/>
        </w:rPr>
        <w:t>。</w:t>
      </w:r>
    </w:p>
    <w:p w14:paraId="2421CA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楷体_GB2312" w:cs="Times New Roman"/>
          <w:b/>
          <w:bCs/>
          <w:color w:val="auto"/>
          <w:kern w:val="0"/>
          <w:sz w:val="32"/>
          <w:szCs w:val="32"/>
          <w:highlight w:val="none"/>
          <w:shd w:val="clear" w:fill="FFFFFF"/>
          <w:lang w:val="en-US" w:eastAsia="zh-CN" w:bidi="ar"/>
        </w:rPr>
      </w:pPr>
      <w:r>
        <w:rPr>
          <w:rFonts w:hint="default" w:ascii="Times New Roman" w:hAnsi="Times New Roman" w:eastAsia="楷体_GB2312" w:cs="Times New Roman"/>
          <w:b/>
          <w:bCs/>
          <w:color w:val="auto"/>
          <w:kern w:val="0"/>
          <w:sz w:val="32"/>
          <w:szCs w:val="32"/>
          <w:highlight w:val="none"/>
          <w:shd w:val="clear" w:fill="FFFFFF"/>
          <w:lang w:val="en-US" w:eastAsia="zh-CN" w:bidi="ar"/>
        </w:rPr>
        <w:t>二、监管要求</w:t>
      </w:r>
    </w:p>
    <w:p w14:paraId="43E91E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依据《中华人民共和国义务教育法》、《安徽省义务教育阶段学校学生学籍管理办法》（教基〔2008〕9号）等法律法规规定，严格审批适龄儿童、少年因身体状况需要延缓入学或者休学的申请，加强对审批过程事中事后监管，强化政府服务职责，确保权力正确有效运行。</w:t>
      </w:r>
    </w:p>
    <w:p w14:paraId="693DB03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楷体_GB2312" w:cs="Times New Roman"/>
          <w:b/>
          <w:bCs/>
          <w:color w:val="auto"/>
          <w:kern w:val="0"/>
          <w:sz w:val="32"/>
          <w:szCs w:val="32"/>
          <w:highlight w:val="none"/>
          <w:shd w:val="clear" w:fill="FFFFFF"/>
          <w:lang w:val="en-US" w:eastAsia="zh-CN" w:bidi="ar"/>
        </w:rPr>
      </w:pPr>
      <w:r>
        <w:rPr>
          <w:rFonts w:hint="default" w:ascii="Times New Roman" w:hAnsi="Times New Roman" w:eastAsia="楷体_GB2312" w:cs="Times New Roman"/>
          <w:b/>
          <w:bCs/>
          <w:color w:val="auto"/>
          <w:kern w:val="0"/>
          <w:sz w:val="32"/>
          <w:szCs w:val="32"/>
          <w:highlight w:val="none"/>
          <w:shd w:val="clear" w:fill="FFFFFF"/>
          <w:lang w:val="en-US" w:eastAsia="zh-CN" w:bidi="ar"/>
        </w:rPr>
        <w:t>三、事中监管</w:t>
      </w:r>
    </w:p>
    <w:p w14:paraId="47480D9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0"/>
          <w:sz w:val="32"/>
          <w:szCs w:val="32"/>
          <w:highlight w:val="none"/>
          <w:shd w:val="clear" w:fill="FFFFFF"/>
          <w:lang w:val="en-US" w:eastAsia="zh-CN" w:bidi="ar"/>
        </w:rPr>
        <w:t>（一）监督检查内容</w:t>
      </w:r>
    </w:p>
    <w:p w14:paraId="442AB54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1、是否依法受理或不予受理（不予受理应当告知理由），是否一次性告知补正材料。</w:t>
      </w:r>
    </w:p>
    <w:p w14:paraId="2DF920E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2、是否对申请人提交的申请材料进行审查核实，申请材料是否齐全、真实。</w:t>
      </w:r>
    </w:p>
    <w:p w14:paraId="07E537C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3、是否按照法律法规，作出合法合规的批准决定。</w:t>
      </w:r>
    </w:p>
    <w:p w14:paraId="5F4C3B6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b/>
          <w:bCs/>
          <w:color w:val="auto"/>
          <w:kern w:val="0"/>
          <w:sz w:val="32"/>
          <w:szCs w:val="32"/>
          <w:highlight w:val="none"/>
          <w:shd w:val="clear" w:fill="FFFFFF"/>
          <w:lang w:val="en-US" w:eastAsia="zh-CN" w:bidi="ar"/>
        </w:rPr>
      </w:pPr>
      <w:r>
        <w:rPr>
          <w:rFonts w:hint="default" w:ascii="Times New Roman" w:hAnsi="Times New Roman" w:eastAsia="仿宋_GB2312" w:cs="Times New Roman"/>
          <w:b/>
          <w:bCs/>
          <w:color w:val="auto"/>
          <w:kern w:val="0"/>
          <w:sz w:val="32"/>
          <w:szCs w:val="32"/>
          <w:highlight w:val="none"/>
          <w:shd w:val="clear" w:fill="FFFFFF"/>
          <w:lang w:val="en-US" w:eastAsia="zh-CN" w:bidi="ar"/>
        </w:rPr>
        <w:t>（二）监督检查措施</w:t>
      </w:r>
    </w:p>
    <w:p w14:paraId="346AC8D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1、开展审查工作，检查相关材料是否真实有效，工作程序是否合法合规。</w:t>
      </w:r>
    </w:p>
    <w:p w14:paraId="523CAF7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2、配合上级部门及本单位对受理的投诉、举报案件依法进行调查处理。</w:t>
      </w:r>
    </w:p>
    <w:p w14:paraId="1AA560D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3、法律、法规规定的其他监督方式。</w:t>
      </w:r>
    </w:p>
    <w:p w14:paraId="4BEA3D8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b/>
          <w:bCs/>
          <w:color w:val="auto"/>
          <w:kern w:val="0"/>
          <w:sz w:val="32"/>
          <w:szCs w:val="32"/>
          <w:highlight w:val="none"/>
          <w:shd w:val="clear" w:fill="FFFFFF"/>
          <w:lang w:val="en-US" w:eastAsia="zh-CN" w:bidi="ar"/>
        </w:rPr>
      </w:pPr>
      <w:r>
        <w:rPr>
          <w:rFonts w:hint="default" w:ascii="Times New Roman" w:hAnsi="Times New Roman" w:eastAsia="仿宋_GB2312" w:cs="Times New Roman"/>
          <w:b/>
          <w:bCs/>
          <w:color w:val="auto"/>
          <w:kern w:val="0"/>
          <w:sz w:val="32"/>
          <w:szCs w:val="32"/>
          <w:highlight w:val="none"/>
          <w:shd w:val="clear" w:fill="FFFFFF"/>
          <w:lang w:val="en-US" w:eastAsia="zh-CN" w:bidi="ar"/>
        </w:rPr>
        <w:t>（三）协同监管</w:t>
      </w:r>
    </w:p>
    <w:p w14:paraId="40E810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按照权责匹配、权责一致的原则，加强与教育局等部门的沟通协作，配合做好延缓入学或休学工作。</w:t>
      </w:r>
    </w:p>
    <w:p w14:paraId="4D25EE9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楷体_GB2312" w:cs="Times New Roman"/>
          <w:b/>
          <w:bCs/>
          <w:color w:val="auto"/>
          <w:kern w:val="0"/>
          <w:sz w:val="32"/>
          <w:szCs w:val="32"/>
          <w:highlight w:val="none"/>
          <w:shd w:val="clear" w:fill="FFFFFF"/>
          <w:lang w:val="en-US" w:eastAsia="zh-CN" w:bidi="ar"/>
        </w:rPr>
      </w:pPr>
      <w:r>
        <w:rPr>
          <w:rFonts w:hint="default" w:ascii="Times New Roman" w:hAnsi="Times New Roman" w:eastAsia="楷体_GB2312" w:cs="Times New Roman"/>
          <w:b/>
          <w:bCs/>
          <w:color w:val="auto"/>
          <w:kern w:val="0"/>
          <w:sz w:val="32"/>
          <w:szCs w:val="32"/>
          <w:highlight w:val="none"/>
          <w:shd w:val="clear" w:fill="FFFFFF"/>
          <w:lang w:val="en-US" w:eastAsia="zh-CN" w:bidi="ar"/>
        </w:rPr>
        <w:t>四、事后监管</w:t>
      </w:r>
    </w:p>
    <w:p w14:paraId="72F30C0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1、留存相关材料，以便事后重审，做到有据可依。</w:t>
      </w:r>
    </w:p>
    <w:p w14:paraId="11714A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2、任何单位和个人都有权检举、控告违规审批延缓入学或休学的行为，发现未依照有关法律、行政法规规定的程序的进行的，应当及时处理，规范审批程序。</w:t>
      </w:r>
    </w:p>
    <w:p w14:paraId="455751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3、教育部门和学校在休学期结束后办理复学手续。</w:t>
      </w:r>
    </w:p>
    <w:p w14:paraId="566BDDB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楷体_GB2312" w:cs="Times New Roman"/>
          <w:b/>
          <w:bCs/>
          <w:color w:val="auto"/>
          <w:kern w:val="0"/>
          <w:sz w:val="32"/>
          <w:szCs w:val="32"/>
          <w:highlight w:val="none"/>
          <w:shd w:val="clear" w:fill="FFFFFF"/>
          <w:lang w:val="en-US" w:eastAsia="zh-CN" w:bidi="ar"/>
        </w:rPr>
      </w:pPr>
      <w:r>
        <w:rPr>
          <w:rFonts w:hint="default" w:ascii="Times New Roman" w:hAnsi="Times New Roman" w:eastAsia="楷体_GB2312" w:cs="Times New Roman"/>
          <w:b/>
          <w:bCs/>
          <w:color w:val="auto"/>
          <w:kern w:val="0"/>
          <w:sz w:val="32"/>
          <w:szCs w:val="32"/>
          <w:highlight w:val="none"/>
          <w:shd w:val="clear" w:fill="FFFFFF"/>
          <w:lang w:val="en-US" w:eastAsia="zh-CN" w:bidi="ar"/>
        </w:rPr>
        <w:t>五、责任追究</w:t>
      </w:r>
    </w:p>
    <w:p w14:paraId="17517B8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0"/>
          <w:sz w:val="32"/>
          <w:szCs w:val="32"/>
          <w:highlight w:val="none"/>
          <w:shd w:val="clear" w:fill="FFFFFF"/>
          <w:lang w:val="en-US" w:eastAsia="zh-CN" w:bidi="ar"/>
        </w:rPr>
        <w:t>（一）因不履行或不正确履行行政职责，有下列情形的，行政机关及相关工作人员应承担相应责任：</w:t>
      </w:r>
    </w:p>
    <w:p w14:paraId="7323C88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1、对符合法定条件的申请不予受理、许可的；</w:t>
      </w:r>
    </w:p>
    <w:p w14:paraId="35B5741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2、对不符合有关法律法规的予以核准的；</w:t>
      </w:r>
    </w:p>
    <w:p w14:paraId="71DC2C5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3、擅自增设、变更涉及核准程序或核准条件的；</w:t>
      </w:r>
    </w:p>
    <w:p w14:paraId="2D3CE71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4、收受贿赂、获取其他利益，或者为他人谋取不正当利益提供方便的；</w:t>
      </w:r>
    </w:p>
    <w:p w14:paraId="3E959F8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kern w:val="0"/>
          <w:sz w:val="32"/>
          <w:szCs w:val="32"/>
          <w:highlight w:val="none"/>
          <w:shd w:val="clear" w:fill="FFFFFF"/>
          <w:lang w:val="en-US" w:eastAsia="zh-CN" w:bidi="ar"/>
        </w:rPr>
        <w:t>5、其他违反法律法规政策规定的行为。</w:t>
      </w:r>
    </w:p>
    <w:p w14:paraId="66ED67C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b/>
          <w:bCs/>
          <w:color w:val="auto"/>
          <w:kern w:val="0"/>
          <w:sz w:val="32"/>
          <w:szCs w:val="32"/>
          <w:highlight w:val="none"/>
          <w:shd w:val="clear" w:fill="FFFFFF"/>
          <w:lang w:val="en-US" w:eastAsia="zh-CN" w:bidi="ar"/>
        </w:rPr>
      </w:pPr>
      <w:r>
        <w:rPr>
          <w:rFonts w:hint="default" w:ascii="Times New Roman" w:hAnsi="Times New Roman" w:eastAsia="仿宋_GB2312" w:cs="Times New Roman"/>
          <w:b/>
          <w:bCs/>
          <w:color w:val="auto"/>
          <w:kern w:val="0"/>
          <w:sz w:val="32"/>
          <w:szCs w:val="32"/>
          <w:highlight w:val="none"/>
          <w:shd w:val="clear" w:fill="FFFFFF"/>
          <w:lang w:val="en-US" w:eastAsia="zh-CN" w:bidi="ar"/>
        </w:rPr>
        <w:t>（二）建立责任追究机制。</w:t>
      </w:r>
    </w:p>
    <w:p w14:paraId="3AEF430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shd w:val="clear" w:fill="FFFFFF"/>
          <w:lang w:val="en-US" w:eastAsia="zh-CN" w:bidi="ar"/>
        </w:rPr>
        <w:t>根据过错大小实施过错追究方式。包括：责令改正、责令作出书面检查、给予通报批评、调离工作岗位或者停职、给予行政处分；收受他人财物或者其他好处的，没收和追缴违法违纪所得，并移交纪检部门处理。</w:t>
      </w:r>
    </w:p>
    <w:p w14:paraId="6EAB763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楷体_GB2312" w:cs="Times New Roman"/>
          <w:b/>
          <w:bCs/>
          <w:color w:val="auto"/>
          <w:kern w:val="0"/>
          <w:sz w:val="32"/>
          <w:szCs w:val="32"/>
          <w:highlight w:val="none"/>
          <w:shd w:val="clear" w:fill="FFFFFF"/>
          <w:lang w:val="en-US" w:eastAsia="zh-CN" w:bidi="ar"/>
        </w:rPr>
      </w:pPr>
      <w:r>
        <w:rPr>
          <w:rFonts w:hint="default" w:ascii="Times New Roman" w:hAnsi="Times New Roman" w:eastAsia="楷体_GB2312" w:cs="Times New Roman"/>
          <w:b/>
          <w:bCs/>
          <w:color w:val="auto"/>
          <w:kern w:val="0"/>
          <w:sz w:val="32"/>
          <w:szCs w:val="32"/>
          <w:highlight w:val="none"/>
          <w:shd w:val="clear" w:fill="FFFFFF"/>
          <w:lang w:val="en-US" w:eastAsia="zh-CN" w:bidi="ar"/>
        </w:rPr>
        <w:t>六、保障措施</w:t>
      </w:r>
    </w:p>
    <w:p w14:paraId="7F08A86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shd w:val="clear" w:fill="FFFFFF"/>
          <w:lang w:val="en-US" w:eastAsia="zh-CN" w:bidi="ar"/>
        </w:rPr>
        <w:t>（一）</w:t>
      </w:r>
      <w:r>
        <w:rPr>
          <w:rFonts w:hint="default" w:ascii="Times New Roman" w:hAnsi="Times New Roman" w:eastAsia="仿宋_GB2312" w:cs="Times New Roman"/>
          <w:color w:val="auto"/>
          <w:kern w:val="0"/>
          <w:sz w:val="32"/>
          <w:szCs w:val="32"/>
          <w:highlight w:val="none"/>
          <w:shd w:val="clear" w:fill="FFFFFF"/>
          <w:lang w:val="en-US" w:eastAsia="zh-CN" w:bidi="ar"/>
        </w:rPr>
        <w:t>规范审批程序。严格按照相关规定，审批延缓入学或休学等事宜，完善监管办法，严肃查处问题，确保事中事后监管工作有序进行。</w:t>
      </w:r>
    </w:p>
    <w:p w14:paraId="3E3A24D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7"/>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shd w:val="clear" w:fill="FFFFFF"/>
          <w:lang w:val="en-US" w:eastAsia="zh-CN" w:bidi="ar"/>
        </w:rPr>
        <w:t>（二）</w:t>
      </w:r>
      <w:r>
        <w:rPr>
          <w:rFonts w:hint="default" w:ascii="Times New Roman" w:hAnsi="Times New Roman" w:eastAsia="仿宋_GB2312" w:cs="Times New Roman"/>
          <w:color w:val="auto"/>
          <w:kern w:val="0"/>
          <w:sz w:val="32"/>
          <w:szCs w:val="32"/>
          <w:highlight w:val="none"/>
          <w:shd w:val="clear" w:fill="FFFFFF"/>
          <w:lang w:val="en-US" w:eastAsia="zh-CN" w:bidi="ar"/>
        </w:rPr>
        <w:t>强化法规教育。对相关工作人员开展法规教育，一方面加强《中华人民共和国义务教育法》等法规的学习教育，了解义务教育的重要性和强制性；另一方面加强行政法律法规的学习教育，了解自身职责和权限，以及违规审批需要承担的责任。</w:t>
      </w:r>
    </w:p>
    <w:p w14:paraId="1CDDA3CE">
      <w:pPr>
        <w:keepNext w:val="0"/>
        <w:keepLines w:val="0"/>
        <w:pageBreakBefore w:val="0"/>
        <w:kinsoku/>
        <w:wordWrap/>
        <w:overflowPunct/>
        <w:topLinePunct w:val="0"/>
        <w:bidi w:val="0"/>
        <w:snapToGrid/>
        <w:spacing w:line="560" w:lineRule="exact"/>
        <w:ind w:firstLine="1084" w:firstLineChars="300"/>
        <w:textAlignment w:val="auto"/>
        <w:rPr>
          <w:rFonts w:hint="eastAsia" w:ascii="黑体" w:hAnsi="黑体" w:eastAsia="黑体" w:cs="黑体"/>
          <w:b/>
          <w:color w:val="auto"/>
          <w:sz w:val="36"/>
          <w:szCs w:val="36"/>
          <w:highlight w:val="none"/>
        </w:rPr>
      </w:pPr>
    </w:p>
    <w:p w14:paraId="22D7D93F">
      <w:pPr>
        <w:keepNext w:val="0"/>
        <w:keepLines w:val="0"/>
        <w:pageBreakBefore w:val="0"/>
        <w:kinsoku/>
        <w:wordWrap/>
        <w:overflowPunct/>
        <w:topLinePunct w:val="0"/>
        <w:bidi w:val="0"/>
        <w:snapToGrid/>
        <w:spacing w:line="560" w:lineRule="exact"/>
        <w:ind w:firstLine="1084" w:firstLineChars="300"/>
        <w:textAlignment w:val="auto"/>
        <w:rPr>
          <w:rFonts w:hint="eastAsia" w:ascii="黑体" w:hAnsi="黑体" w:eastAsia="黑体" w:cs="黑体"/>
          <w:b/>
          <w:color w:val="auto"/>
          <w:sz w:val="36"/>
          <w:szCs w:val="36"/>
          <w:highlight w:val="none"/>
        </w:rPr>
      </w:pPr>
    </w:p>
    <w:p w14:paraId="3CC04A41">
      <w:pPr>
        <w:keepNext w:val="0"/>
        <w:keepLines w:val="0"/>
        <w:pageBreakBefore w:val="0"/>
        <w:kinsoku/>
        <w:wordWrap/>
        <w:overflowPunct/>
        <w:topLinePunct w:val="0"/>
        <w:bidi w:val="0"/>
        <w:snapToGrid/>
        <w:spacing w:line="560" w:lineRule="exact"/>
        <w:ind w:firstLine="1084" w:firstLineChars="300"/>
        <w:textAlignment w:val="auto"/>
        <w:rPr>
          <w:rFonts w:hint="eastAsia" w:ascii="黑体" w:hAnsi="黑体" w:eastAsia="黑体" w:cs="黑体"/>
          <w:b/>
          <w:color w:val="auto"/>
          <w:sz w:val="36"/>
          <w:szCs w:val="36"/>
          <w:highlight w:val="none"/>
        </w:rPr>
      </w:pPr>
    </w:p>
    <w:p w14:paraId="680EA800">
      <w:pPr>
        <w:keepNext w:val="0"/>
        <w:keepLines w:val="0"/>
        <w:pageBreakBefore w:val="0"/>
        <w:kinsoku/>
        <w:wordWrap/>
        <w:overflowPunct/>
        <w:topLinePunct w:val="0"/>
        <w:bidi w:val="0"/>
        <w:snapToGrid/>
        <w:spacing w:line="560" w:lineRule="exact"/>
        <w:ind w:firstLine="1084" w:firstLineChars="300"/>
        <w:textAlignment w:val="auto"/>
        <w:rPr>
          <w:rFonts w:hint="eastAsia" w:ascii="黑体" w:hAnsi="黑体" w:eastAsia="黑体" w:cs="黑体"/>
          <w:b/>
          <w:color w:val="auto"/>
          <w:sz w:val="36"/>
          <w:szCs w:val="36"/>
          <w:highlight w:val="none"/>
        </w:rPr>
      </w:pPr>
    </w:p>
    <w:p w14:paraId="66422C13">
      <w:pPr>
        <w:keepNext w:val="0"/>
        <w:keepLines w:val="0"/>
        <w:pageBreakBefore w:val="0"/>
        <w:kinsoku/>
        <w:wordWrap/>
        <w:overflowPunct/>
        <w:topLinePunct w:val="0"/>
        <w:bidi w:val="0"/>
        <w:snapToGrid/>
        <w:spacing w:line="560" w:lineRule="exact"/>
        <w:textAlignment w:val="auto"/>
        <w:rPr>
          <w:rFonts w:hint="eastAsia" w:ascii="Times New Roman" w:hAnsi="Times New Roman" w:eastAsia="黑体" w:cs="Times New Roman"/>
          <w:b w:val="0"/>
          <w:bCs/>
          <w:strike w:val="0"/>
          <w:dstrike w:val="0"/>
          <w:color w:val="auto"/>
          <w:sz w:val="32"/>
          <w:szCs w:val="32"/>
          <w:highlight w:val="none"/>
          <w:lang w:eastAsia="zh-CN"/>
        </w:rPr>
      </w:pPr>
      <w:r>
        <w:rPr>
          <w:rFonts w:hint="eastAsia" w:ascii="Times New Roman" w:hAnsi="Times New Roman" w:eastAsia="黑体" w:cs="Times New Roman"/>
          <w:b w:val="0"/>
          <w:bCs/>
          <w:strike w:val="0"/>
          <w:dstrike w:val="0"/>
          <w:color w:val="auto"/>
          <w:sz w:val="32"/>
          <w:szCs w:val="32"/>
          <w:highlight w:val="none"/>
          <w:lang w:eastAsia="zh-CN"/>
        </w:rPr>
        <w:br w:type="page"/>
      </w:r>
    </w:p>
    <w:p w14:paraId="528B67B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trike w:val="0"/>
          <w:dstrike w:val="0"/>
          <w:color w:val="auto"/>
          <w:sz w:val="32"/>
          <w:szCs w:val="32"/>
          <w:highlight w:val="none"/>
          <w:lang w:eastAsia="zh-CN"/>
        </w:rPr>
      </w:pPr>
      <w:r>
        <w:rPr>
          <w:rFonts w:hint="eastAsia" w:ascii="Times New Roman" w:hAnsi="Times New Roman" w:eastAsia="黑体" w:cs="Times New Roman"/>
          <w:b w:val="0"/>
          <w:bCs/>
          <w:strike w:val="0"/>
          <w:dstrike w:val="0"/>
          <w:color w:val="auto"/>
          <w:sz w:val="32"/>
          <w:szCs w:val="32"/>
          <w:highlight w:val="none"/>
          <w:lang w:eastAsia="zh-CN"/>
        </w:rPr>
        <w:t>二、</w:t>
      </w:r>
      <w:r>
        <w:rPr>
          <w:rFonts w:hint="default" w:ascii="Times New Roman" w:hAnsi="Times New Roman" w:eastAsia="黑体" w:cs="Times New Roman"/>
          <w:b w:val="0"/>
          <w:bCs/>
          <w:strike w:val="0"/>
          <w:dstrike w:val="0"/>
          <w:color w:val="auto"/>
          <w:sz w:val="32"/>
          <w:szCs w:val="32"/>
          <w:highlight w:val="none"/>
        </w:rPr>
        <w:t>殡葬设施建设审批</w:t>
      </w:r>
      <w:r>
        <w:rPr>
          <w:rFonts w:hint="default" w:ascii="Times New Roman" w:hAnsi="Times New Roman" w:eastAsia="黑体" w:cs="Times New Roman"/>
          <w:b w:val="0"/>
          <w:bCs/>
          <w:strike w:val="0"/>
          <w:dstrike w:val="0"/>
          <w:color w:val="auto"/>
          <w:sz w:val="32"/>
          <w:szCs w:val="32"/>
          <w:highlight w:val="none"/>
          <w:lang w:eastAsia="zh-CN"/>
        </w:rPr>
        <w:t>事中事后监管细则</w:t>
      </w:r>
    </w:p>
    <w:p w14:paraId="1642DB1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trike w:val="0"/>
          <w:dstrike w:val="0"/>
          <w:color w:val="auto"/>
          <w:sz w:val="32"/>
          <w:szCs w:val="32"/>
          <w:highlight w:val="none"/>
        </w:rPr>
      </w:pPr>
      <w:r>
        <w:rPr>
          <w:rFonts w:hint="default" w:ascii="Times New Roman" w:hAnsi="Times New Roman" w:eastAsia="黑体" w:cs="Times New Roman"/>
          <w:b w:val="0"/>
          <w:bCs/>
          <w:strike w:val="0"/>
          <w:dstrike w:val="0"/>
          <w:color w:val="auto"/>
          <w:sz w:val="32"/>
          <w:szCs w:val="32"/>
          <w:highlight w:val="none"/>
        </w:rPr>
        <w:t>（行政许可）</w:t>
      </w:r>
    </w:p>
    <w:p w14:paraId="45BD887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为深入推进简政放权、放管结合、优化服务，加强对建设殡葬设施审批的监管，规范政府权力运行，根据相关法律法规和《安徽省政府权力运行监督管理办法》，结合我区</w:t>
      </w:r>
      <w:r>
        <w:rPr>
          <w:rFonts w:hint="default" w:ascii="Times New Roman" w:hAnsi="Times New Roman" w:cs="Times New Roman"/>
          <w:strike w:val="0"/>
          <w:dstrike w:val="0"/>
          <w:color w:val="auto"/>
          <w:sz w:val="32"/>
          <w:szCs w:val="32"/>
          <w:highlight w:val="none"/>
          <w:lang w:eastAsia="zh-CN"/>
        </w:rPr>
        <w:t>镇街</w:t>
      </w:r>
      <w:r>
        <w:rPr>
          <w:rFonts w:hint="default" w:ascii="Times New Roman" w:hAnsi="Times New Roman" w:cs="Times New Roman"/>
          <w:strike w:val="0"/>
          <w:dstrike w:val="0"/>
          <w:color w:val="auto"/>
          <w:sz w:val="32"/>
          <w:szCs w:val="32"/>
          <w:highlight w:val="none"/>
        </w:rPr>
        <w:t>实际，制定本监管细则。</w:t>
      </w:r>
    </w:p>
    <w:p w14:paraId="0A4BD64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本细则对应</w:t>
      </w:r>
      <w:r>
        <w:rPr>
          <w:rFonts w:hint="default" w:ascii="Times New Roman" w:hAnsi="Times New Roman" w:eastAsia="仿宋_GB2312" w:cs="Times New Roman"/>
          <w:strike w:val="0"/>
          <w:dstrike w:val="0"/>
          <w:color w:val="auto"/>
          <w:kern w:val="0"/>
          <w:sz w:val="32"/>
          <w:szCs w:val="32"/>
          <w:highlight w:val="none"/>
          <w:shd w:val="clear" w:fill="FFFFFF"/>
          <w:lang w:val="en-US" w:eastAsia="zh-CN" w:bidi="ar"/>
        </w:rPr>
        <w:t>《屯溪区镇（街道）审批事项清单》</w:t>
      </w:r>
      <w:r>
        <w:rPr>
          <w:rFonts w:hint="default" w:ascii="Times New Roman" w:hAnsi="Times New Roman" w:cs="Times New Roman"/>
          <w:strike w:val="0"/>
          <w:dstrike w:val="0"/>
          <w:color w:val="auto"/>
          <w:sz w:val="32"/>
          <w:szCs w:val="32"/>
          <w:highlight w:val="none"/>
        </w:rPr>
        <w:t>行政许可类第</w:t>
      </w:r>
      <w:r>
        <w:rPr>
          <w:rFonts w:hint="default" w:ascii="Times New Roman" w:hAnsi="Times New Roman" w:cs="Times New Roman"/>
          <w:strike w:val="0"/>
          <w:dstrike w:val="0"/>
          <w:color w:val="auto"/>
          <w:sz w:val="32"/>
          <w:szCs w:val="32"/>
          <w:highlight w:val="none"/>
          <w:lang w:val="en-US" w:eastAsia="zh-CN"/>
        </w:rPr>
        <w:t>2</w:t>
      </w:r>
      <w:r>
        <w:rPr>
          <w:rFonts w:hint="default" w:ascii="Times New Roman" w:hAnsi="Times New Roman" w:cs="Times New Roman"/>
          <w:strike w:val="0"/>
          <w:dstrike w:val="0"/>
          <w:color w:val="auto"/>
          <w:sz w:val="32"/>
          <w:szCs w:val="32"/>
          <w:highlight w:val="none"/>
        </w:rPr>
        <w:t>项，项目名称：殡葬设施建设审批。</w:t>
      </w:r>
    </w:p>
    <w:p w14:paraId="3D36DDA2">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default" w:ascii="Times New Roman" w:hAnsi="Times New Roman" w:eastAsia="楷体_GB2312" w:cs="Times New Roman"/>
          <w:b/>
          <w:bCs/>
          <w:strike w:val="0"/>
          <w:dstrike w:val="0"/>
          <w:color w:val="auto"/>
          <w:sz w:val="32"/>
          <w:szCs w:val="32"/>
          <w:highlight w:val="none"/>
        </w:rPr>
      </w:pPr>
      <w:r>
        <w:rPr>
          <w:rFonts w:hint="default" w:ascii="Times New Roman" w:hAnsi="Times New Roman" w:eastAsia="楷体_GB2312" w:cs="Times New Roman"/>
          <w:b/>
          <w:bCs/>
          <w:strike w:val="0"/>
          <w:dstrike w:val="0"/>
          <w:color w:val="auto"/>
          <w:sz w:val="32"/>
          <w:szCs w:val="32"/>
          <w:highlight w:val="none"/>
        </w:rPr>
        <w:t>一、基本原则</w:t>
      </w:r>
    </w:p>
    <w:p w14:paraId="026095A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b/>
          <w:bCs/>
          <w:strike w:val="0"/>
          <w:dstrike w:val="0"/>
          <w:color w:val="auto"/>
          <w:sz w:val="32"/>
          <w:szCs w:val="32"/>
          <w:highlight w:val="none"/>
        </w:rPr>
        <w:t>（一）</w:t>
      </w:r>
      <w:r>
        <w:rPr>
          <w:rFonts w:hint="default" w:ascii="Times New Roman" w:hAnsi="Times New Roman" w:cs="Times New Roman"/>
          <w:strike w:val="0"/>
          <w:dstrike w:val="0"/>
          <w:color w:val="auto"/>
          <w:sz w:val="32"/>
          <w:szCs w:val="32"/>
          <w:highlight w:val="none"/>
        </w:rPr>
        <w:t>坚持</w:t>
      </w:r>
      <w:r>
        <w:rPr>
          <w:rFonts w:hint="default" w:ascii="Times New Roman" w:hAnsi="Times New Roman" w:cs="Times New Roman"/>
          <w:bCs/>
          <w:strike w:val="0"/>
          <w:dstrike w:val="0"/>
          <w:color w:val="auto"/>
          <w:sz w:val="32"/>
          <w:szCs w:val="32"/>
          <w:highlight w:val="none"/>
        </w:rPr>
        <w:t>“法无授权不可为、法定职权必须为”</w:t>
      </w:r>
      <w:r>
        <w:rPr>
          <w:rFonts w:hint="default" w:ascii="Times New Roman" w:hAnsi="Times New Roman" w:cs="Times New Roman"/>
          <w:strike w:val="0"/>
          <w:dstrike w:val="0"/>
          <w:color w:val="auto"/>
          <w:sz w:val="32"/>
          <w:szCs w:val="32"/>
          <w:highlight w:val="none"/>
        </w:rPr>
        <w:t>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14:paraId="4B5C0C5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b/>
          <w:bCs/>
          <w:strike w:val="0"/>
          <w:dstrike w:val="0"/>
          <w:color w:val="auto"/>
          <w:sz w:val="32"/>
          <w:szCs w:val="32"/>
          <w:highlight w:val="none"/>
        </w:rPr>
        <w:t>（二）</w:t>
      </w:r>
      <w:r>
        <w:rPr>
          <w:rFonts w:hint="default" w:ascii="Times New Roman" w:hAnsi="Times New Roman" w:cs="Times New Roman"/>
          <w:strike w:val="0"/>
          <w:dstrike w:val="0"/>
          <w:color w:val="auto"/>
          <w:sz w:val="32"/>
          <w:szCs w:val="32"/>
          <w:highlight w:val="none"/>
        </w:rPr>
        <w:t>坚持</w:t>
      </w:r>
      <w:r>
        <w:rPr>
          <w:rFonts w:hint="default" w:ascii="Times New Roman" w:hAnsi="Times New Roman" w:cs="Times New Roman"/>
          <w:bCs/>
          <w:strike w:val="0"/>
          <w:dstrike w:val="0"/>
          <w:color w:val="auto"/>
          <w:sz w:val="32"/>
          <w:szCs w:val="32"/>
          <w:highlight w:val="none"/>
        </w:rPr>
        <w:t>“全程监管、全程服务”</w:t>
      </w:r>
      <w:r>
        <w:rPr>
          <w:rFonts w:hint="default" w:ascii="Times New Roman" w:hAnsi="Times New Roman" w:cs="Times New Roman"/>
          <w:strike w:val="0"/>
          <w:dstrike w:val="0"/>
          <w:color w:val="auto"/>
          <w:sz w:val="32"/>
          <w:szCs w:val="32"/>
          <w:highlight w:val="none"/>
        </w:rPr>
        <w:t>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1F616AED">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default" w:ascii="Times New Roman" w:hAnsi="Times New Roman" w:eastAsia="楷体_GB2312" w:cs="Times New Roman"/>
          <w:b/>
          <w:bCs/>
          <w:strike w:val="0"/>
          <w:dstrike w:val="0"/>
          <w:color w:val="auto"/>
          <w:sz w:val="32"/>
          <w:szCs w:val="32"/>
          <w:highlight w:val="none"/>
        </w:rPr>
      </w:pPr>
      <w:r>
        <w:rPr>
          <w:rFonts w:hint="default" w:ascii="Times New Roman" w:hAnsi="Times New Roman" w:eastAsia="楷体_GB2312" w:cs="Times New Roman"/>
          <w:b/>
          <w:bCs/>
          <w:strike w:val="0"/>
          <w:dstrike w:val="0"/>
          <w:color w:val="auto"/>
          <w:sz w:val="32"/>
          <w:szCs w:val="32"/>
          <w:highlight w:val="none"/>
        </w:rPr>
        <w:t>二、监管任务</w:t>
      </w:r>
    </w:p>
    <w:p w14:paraId="11C646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lang w:eastAsia="zh-CN"/>
        </w:rPr>
        <w:t>镇街</w:t>
      </w:r>
      <w:r>
        <w:rPr>
          <w:rFonts w:hint="default" w:ascii="Times New Roman" w:hAnsi="Times New Roman" w:cs="Times New Roman"/>
          <w:strike w:val="0"/>
          <w:dstrike w:val="0"/>
          <w:color w:val="auto"/>
          <w:sz w:val="32"/>
          <w:szCs w:val="32"/>
          <w:highlight w:val="none"/>
        </w:rPr>
        <w:t>负责殡葬设施审批和初审转报。具体包括以下事项：符合国家与社会的利益，尊重当地居住人的意愿；符合城乡总体规划要求，与有关各方协商一致；</w:t>
      </w:r>
      <w:r>
        <w:rPr>
          <w:rFonts w:hint="default" w:ascii="Times New Roman" w:hAnsi="Times New Roman" w:cs="Times New Roman"/>
          <w:strike w:val="0"/>
          <w:dstrike w:val="0"/>
          <w:color w:val="auto"/>
          <w:sz w:val="32"/>
          <w:szCs w:val="32"/>
          <w:highlight w:val="none"/>
          <w:lang w:eastAsia="zh-CN"/>
        </w:rPr>
        <w:t>镇街</w:t>
      </w:r>
      <w:r>
        <w:rPr>
          <w:rFonts w:hint="default" w:ascii="Times New Roman" w:hAnsi="Times New Roman" w:cs="Times New Roman"/>
          <w:strike w:val="0"/>
          <w:dstrike w:val="0"/>
          <w:color w:val="auto"/>
          <w:sz w:val="32"/>
          <w:szCs w:val="32"/>
          <w:highlight w:val="none"/>
        </w:rPr>
        <w:t>民政部门收到申报材料后，根据下列情况分别作出处理：1.材料存在可以当场更正的错误的，应当允许申报单位（服务对象）当场更正；2.材料不齐全或者不符合规定形式的，应当当场或者在5日内一次性告知申报单位（服务对象）需要补正的全部内容，逾期不告知的，自收到申报材料之日起即为受理；3.材料齐全、符合规定形式，或者申报单位（服务对象）按照要求提交全部补正材料的，应当受理；4.</w:t>
      </w:r>
      <w:r>
        <w:rPr>
          <w:rFonts w:hint="default" w:ascii="Times New Roman" w:hAnsi="Times New Roman" w:cs="Times New Roman"/>
          <w:strike w:val="0"/>
          <w:dstrike w:val="0"/>
          <w:color w:val="auto"/>
          <w:sz w:val="32"/>
          <w:szCs w:val="32"/>
          <w:highlight w:val="none"/>
          <w:lang w:eastAsia="zh-CN"/>
        </w:rPr>
        <w:t>镇街</w:t>
      </w:r>
      <w:r>
        <w:rPr>
          <w:rFonts w:hint="default" w:ascii="Times New Roman" w:hAnsi="Times New Roman" w:cs="Times New Roman"/>
          <w:strike w:val="0"/>
          <w:dstrike w:val="0"/>
          <w:color w:val="auto"/>
          <w:sz w:val="32"/>
          <w:szCs w:val="32"/>
          <w:highlight w:val="none"/>
        </w:rPr>
        <w:t>民政部门受理申报，应当出具加盖印章和注明日期的书面凭证；5.</w:t>
      </w:r>
      <w:r>
        <w:rPr>
          <w:rFonts w:hint="default" w:ascii="Times New Roman" w:hAnsi="Times New Roman" w:cs="Times New Roman"/>
          <w:strike w:val="0"/>
          <w:dstrike w:val="0"/>
          <w:color w:val="auto"/>
          <w:sz w:val="32"/>
          <w:szCs w:val="32"/>
          <w:highlight w:val="none"/>
          <w:lang w:eastAsia="zh-CN"/>
        </w:rPr>
        <w:t>镇街</w:t>
      </w:r>
      <w:r>
        <w:rPr>
          <w:rFonts w:hint="default" w:ascii="Times New Roman" w:hAnsi="Times New Roman" w:cs="Times New Roman"/>
          <w:strike w:val="0"/>
          <w:dstrike w:val="0"/>
          <w:color w:val="auto"/>
          <w:sz w:val="32"/>
          <w:szCs w:val="32"/>
          <w:highlight w:val="none"/>
        </w:rPr>
        <w:t>民政部门受理后，应当及时会同国土、林业、住建、环保等部门实地审核；6、各部门签署意见后，相关材料呈局党组会研究决定；7、对符合殡葬设施建设要求的，</w:t>
      </w:r>
      <w:r>
        <w:rPr>
          <w:rFonts w:hint="default" w:ascii="Times New Roman" w:hAnsi="Times New Roman" w:cs="Times New Roman"/>
          <w:strike w:val="0"/>
          <w:dstrike w:val="0"/>
          <w:color w:val="auto"/>
          <w:sz w:val="32"/>
          <w:szCs w:val="32"/>
          <w:highlight w:val="none"/>
          <w:lang w:eastAsia="zh-CN"/>
        </w:rPr>
        <w:t>上报</w:t>
      </w:r>
      <w:r>
        <w:rPr>
          <w:rFonts w:hint="default" w:ascii="Times New Roman" w:hAnsi="Times New Roman" w:cs="Times New Roman"/>
          <w:strike w:val="0"/>
          <w:dstrike w:val="0"/>
          <w:color w:val="auto"/>
          <w:sz w:val="32"/>
          <w:szCs w:val="32"/>
          <w:highlight w:val="none"/>
        </w:rPr>
        <w:t>区民政局行文批复（上报区政府）或按规定对需要转报的，局主要领导签署审核意见，报市民政局审批。不符合的以适当方式告知。</w:t>
      </w:r>
    </w:p>
    <w:p w14:paraId="0711FA2C">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default" w:ascii="Times New Roman" w:hAnsi="Times New Roman" w:eastAsia="楷体_GB2312" w:cs="Times New Roman"/>
          <w:b/>
          <w:bCs/>
          <w:strike w:val="0"/>
          <w:dstrike w:val="0"/>
          <w:color w:val="auto"/>
          <w:sz w:val="32"/>
          <w:szCs w:val="32"/>
          <w:highlight w:val="none"/>
        </w:rPr>
      </w:pPr>
      <w:r>
        <w:rPr>
          <w:rFonts w:hint="default" w:ascii="Times New Roman" w:hAnsi="Times New Roman" w:eastAsia="楷体_GB2312" w:cs="Times New Roman"/>
          <w:b/>
          <w:bCs/>
          <w:strike w:val="0"/>
          <w:dstrike w:val="0"/>
          <w:color w:val="auto"/>
          <w:sz w:val="32"/>
          <w:szCs w:val="32"/>
          <w:highlight w:val="none"/>
        </w:rPr>
        <w:t>三、监管措施</w:t>
      </w:r>
    </w:p>
    <w:p w14:paraId="467B1DB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bCs/>
          <w:strike w:val="0"/>
          <w:dstrike w:val="0"/>
          <w:color w:val="auto"/>
          <w:sz w:val="32"/>
          <w:szCs w:val="32"/>
          <w:highlight w:val="none"/>
        </w:rPr>
      </w:pPr>
      <w:r>
        <w:rPr>
          <w:rFonts w:hint="default" w:ascii="Times New Roman" w:hAnsi="Times New Roman" w:cs="Times New Roman"/>
          <w:b/>
          <w:bCs/>
          <w:strike w:val="0"/>
          <w:dstrike w:val="0"/>
          <w:color w:val="auto"/>
          <w:sz w:val="32"/>
          <w:szCs w:val="32"/>
          <w:highlight w:val="none"/>
        </w:rPr>
        <w:t>（一）建立殡葬设施建设审批档案。</w:t>
      </w:r>
    </w:p>
    <w:p w14:paraId="149E84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lang w:eastAsia="zh-CN"/>
        </w:rPr>
        <w:t>镇街民政部门</w:t>
      </w:r>
      <w:r>
        <w:rPr>
          <w:rFonts w:hint="default" w:ascii="Times New Roman" w:hAnsi="Times New Roman" w:cs="Times New Roman"/>
          <w:strike w:val="0"/>
          <w:dstrike w:val="0"/>
          <w:color w:val="auto"/>
          <w:sz w:val="32"/>
          <w:szCs w:val="32"/>
          <w:highlight w:val="none"/>
        </w:rPr>
        <w:t>建立殡葬设施建设审批档案并录入系统，定期开展档案审查，形成长效审查机制。</w:t>
      </w:r>
    </w:p>
    <w:p w14:paraId="6EB826C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bCs/>
          <w:strike w:val="0"/>
          <w:dstrike w:val="0"/>
          <w:color w:val="auto"/>
          <w:sz w:val="32"/>
          <w:szCs w:val="32"/>
          <w:highlight w:val="none"/>
        </w:rPr>
      </w:pPr>
      <w:r>
        <w:rPr>
          <w:rFonts w:hint="default" w:ascii="Times New Roman" w:hAnsi="Times New Roman" w:cs="Times New Roman"/>
          <w:b/>
          <w:bCs/>
          <w:strike w:val="0"/>
          <w:dstrike w:val="0"/>
          <w:color w:val="auto"/>
          <w:sz w:val="32"/>
          <w:szCs w:val="32"/>
          <w:highlight w:val="none"/>
        </w:rPr>
        <w:t>（二）协同监管。</w:t>
      </w:r>
    </w:p>
    <w:p w14:paraId="3A3329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trike w:val="0"/>
          <w:dstrike w:val="0"/>
          <w:color w:val="auto"/>
          <w:sz w:val="32"/>
          <w:szCs w:val="32"/>
          <w:highlight w:val="none"/>
          <w:lang w:eastAsia="zh-CN"/>
        </w:rPr>
      </w:pPr>
      <w:r>
        <w:rPr>
          <w:rFonts w:hint="default" w:ascii="Times New Roman" w:hAnsi="Times New Roman" w:cs="Times New Roman"/>
          <w:strike w:val="0"/>
          <w:dstrike w:val="0"/>
          <w:color w:val="auto"/>
          <w:sz w:val="32"/>
          <w:szCs w:val="32"/>
          <w:highlight w:val="none"/>
          <w:lang w:eastAsia="zh-CN"/>
        </w:rPr>
        <w:t>镇街民政部门要加强国土划、建设、林业、环保等部门的沟通协作，接受审计、监察等部门的监督、检查，共同做好监管工作，对建设殡葬设施的审批申报开展情况进行监督。</w:t>
      </w:r>
    </w:p>
    <w:p w14:paraId="17CF78E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trike w:val="0"/>
          <w:dstrike w:val="0"/>
          <w:color w:val="auto"/>
          <w:sz w:val="32"/>
          <w:szCs w:val="32"/>
          <w:highlight w:val="none"/>
          <w:lang w:eastAsia="zh-CN"/>
        </w:rPr>
      </w:pPr>
      <w:r>
        <w:rPr>
          <w:rFonts w:hint="default" w:ascii="Times New Roman" w:hAnsi="Times New Roman" w:cs="Times New Roman"/>
          <w:b/>
          <w:bCs/>
          <w:strike w:val="0"/>
          <w:dstrike w:val="0"/>
          <w:color w:val="auto"/>
          <w:sz w:val="32"/>
          <w:szCs w:val="32"/>
          <w:highlight w:val="none"/>
          <w:lang w:eastAsia="zh-CN"/>
        </w:rPr>
        <w:t>（三）</w:t>
      </w:r>
      <w:r>
        <w:rPr>
          <w:rFonts w:hint="default" w:ascii="Times New Roman" w:hAnsi="Times New Roman" w:cs="Times New Roman"/>
          <w:b/>
          <w:bCs/>
          <w:strike w:val="0"/>
          <w:dstrike w:val="0"/>
          <w:color w:val="auto"/>
          <w:sz w:val="32"/>
          <w:szCs w:val="32"/>
          <w:highlight w:val="none"/>
        </w:rPr>
        <w:t>社会监管。</w:t>
      </w:r>
      <w:r>
        <w:rPr>
          <w:rFonts w:hint="default" w:ascii="Times New Roman" w:hAnsi="Times New Roman" w:cs="Times New Roman"/>
          <w:strike w:val="0"/>
          <w:dstrike w:val="0"/>
          <w:color w:val="auto"/>
          <w:sz w:val="32"/>
          <w:szCs w:val="32"/>
          <w:highlight w:val="none"/>
          <w:lang w:eastAsia="zh-CN"/>
        </w:rPr>
        <w:t>镇街民政部门公布本部门的电话或者电子邮箱，接受相关人员的咨询、投诉、举报。接到咨询、投诉、举报后，应在法定期限内及时答复、核实、处理。</w:t>
      </w:r>
    </w:p>
    <w:p w14:paraId="50A87089">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default" w:ascii="Times New Roman" w:hAnsi="Times New Roman" w:eastAsia="楷体_GB2312" w:cs="Times New Roman"/>
          <w:b/>
          <w:bCs/>
          <w:strike w:val="0"/>
          <w:dstrike w:val="0"/>
          <w:color w:val="auto"/>
          <w:sz w:val="32"/>
          <w:szCs w:val="32"/>
          <w:highlight w:val="none"/>
        </w:rPr>
      </w:pPr>
      <w:r>
        <w:rPr>
          <w:rFonts w:hint="default" w:ascii="Times New Roman" w:hAnsi="Times New Roman" w:eastAsia="楷体_GB2312" w:cs="Times New Roman"/>
          <w:b/>
          <w:bCs/>
          <w:strike w:val="0"/>
          <w:dstrike w:val="0"/>
          <w:color w:val="auto"/>
          <w:sz w:val="32"/>
          <w:szCs w:val="32"/>
          <w:highlight w:val="none"/>
        </w:rPr>
        <w:t>四、责任追究</w:t>
      </w:r>
    </w:p>
    <w:p w14:paraId="4FD484D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（一）在殡葬设施建设审批工作中，相关责任人未履行或未正确履行法定职责的，造成追责情形的，由</w:t>
      </w:r>
      <w:r>
        <w:rPr>
          <w:rFonts w:hint="default" w:ascii="Times New Roman" w:hAnsi="Times New Roman" w:cs="Times New Roman"/>
          <w:strike w:val="0"/>
          <w:dstrike w:val="0"/>
          <w:color w:val="auto"/>
          <w:sz w:val="32"/>
          <w:szCs w:val="32"/>
          <w:highlight w:val="none"/>
          <w:lang w:eastAsia="zh-CN"/>
        </w:rPr>
        <w:t>镇街民政部门</w:t>
      </w:r>
      <w:r>
        <w:rPr>
          <w:rFonts w:hint="default" w:ascii="Times New Roman" w:hAnsi="Times New Roman" w:cs="Times New Roman"/>
          <w:strike w:val="0"/>
          <w:dstrike w:val="0"/>
          <w:color w:val="auto"/>
          <w:sz w:val="32"/>
          <w:szCs w:val="32"/>
          <w:highlight w:val="none"/>
        </w:rPr>
        <w:t>依法依规予以处理。</w:t>
      </w:r>
    </w:p>
    <w:p w14:paraId="04116C2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（二）</w:t>
      </w:r>
      <w:r>
        <w:rPr>
          <w:rFonts w:hint="default" w:ascii="Times New Roman" w:hAnsi="Times New Roman" w:cs="Times New Roman"/>
          <w:strike w:val="0"/>
          <w:dstrike w:val="0"/>
          <w:color w:val="auto"/>
          <w:sz w:val="32"/>
          <w:szCs w:val="32"/>
          <w:highlight w:val="none"/>
          <w:lang w:eastAsia="zh-CN"/>
        </w:rPr>
        <w:t>镇街民政部门</w:t>
      </w:r>
      <w:r>
        <w:rPr>
          <w:rFonts w:hint="default" w:ascii="Times New Roman" w:hAnsi="Times New Roman" w:cs="Times New Roman"/>
          <w:strike w:val="0"/>
          <w:dstrike w:val="0"/>
          <w:color w:val="auto"/>
          <w:sz w:val="32"/>
          <w:szCs w:val="32"/>
          <w:highlight w:val="none"/>
        </w:rPr>
        <w:t>在殡葬设施建设审批工作中，违反相关规定，有下列情形之一的，对直接负责的主管人员和其他直接责任人员依法给予行政处分；构成犯罪的，依法追究刑事责任。</w:t>
      </w:r>
    </w:p>
    <w:p w14:paraId="6B557F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1、对符合条件不予受理的；</w:t>
      </w:r>
    </w:p>
    <w:p w14:paraId="43548F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2、违反规定进行建设殡葬设施认定审批的；</w:t>
      </w:r>
    </w:p>
    <w:p w14:paraId="4EA001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3、在审核审批工作中利用职权谋取私利的；</w:t>
      </w:r>
    </w:p>
    <w:p w14:paraId="48C6BB1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4、不按规定或违反相关工作程序的；</w:t>
      </w:r>
    </w:p>
    <w:p w14:paraId="544991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5、其他违反法律法规规章文件规定的行为。</w:t>
      </w:r>
    </w:p>
    <w:p w14:paraId="27B73F25">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default" w:ascii="Times New Roman" w:hAnsi="Times New Roman" w:eastAsia="楷体_GB2312" w:cs="Times New Roman"/>
          <w:b/>
          <w:bCs/>
          <w:strike w:val="0"/>
          <w:dstrike w:val="0"/>
          <w:color w:val="auto"/>
          <w:sz w:val="32"/>
          <w:szCs w:val="32"/>
          <w:highlight w:val="none"/>
        </w:rPr>
      </w:pPr>
      <w:r>
        <w:rPr>
          <w:rFonts w:hint="default" w:ascii="Times New Roman" w:hAnsi="Times New Roman" w:eastAsia="楷体_GB2312" w:cs="Times New Roman"/>
          <w:b/>
          <w:bCs/>
          <w:strike w:val="0"/>
          <w:dstrike w:val="0"/>
          <w:color w:val="auto"/>
          <w:sz w:val="32"/>
          <w:szCs w:val="32"/>
          <w:highlight w:val="none"/>
        </w:rPr>
        <w:t>五、保障措施</w:t>
      </w:r>
    </w:p>
    <w:p w14:paraId="68A0B4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严格按照简政放权、放管结合、转变职能的要求，强化组织领导，完善监管办法，落实监管责任，畅通举报渠道，严肃查处问题，确保建设殡葬设施审批工作有序推进。</w:t>
      </w:r>
    </w:p>
    <w:p w14:paraId="59A778C2">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default" w:ascii="Times New Roman" w:hAnsi="Times New Roman" w:eastAsia="楷体_GB2312" w:cs="Times New Roman"/>
          <w:b/>
          <w:bCs/>
          <w:strike w:val="0"/>
          <w:dstrike w:val="0"/>
          <w:color w:val="auto"/>
          <w:sz w:val="32"/>
          <w:szCs w:val="32"/>
          <w:highlight w:val="none"/>
        </w:rPr>
      </w:pPr>
      <w:r>
        <w:rPr>
          <w:rFonts w:hint="default" w:ascii="Times New Roman" w:hAnsi="Times New Roman" w:eastAsia="楷体_GB2312" w:cs="Times New Roman"/>
          <w:b/>
          <w:bCs/>
          <w:strike w:val="0"/>
          <w:dstrike w:val="0"/>
          <w:color w:val="auto"/>
          <w:sz w:val="32"/>
          <w:szCs w:val="32"/>
          <w:highlight w:val="none"/>
        </w:rPr>
        <w:t>六、主要依据</w:t>
      </w:r>
    </w:p>
    <w:p w14:paraId="268B6C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《殡葬管理条例》、《安徽省殡葬管理办法》</w:t>
      </w:r>
    </w:p>
    <w:p w14:paraId="0D42EC39">
      <w:pPr>
        <w:pStyle w:val="3"/>
        <w:keepNext w:val="0"/>
        <w:keepLines w:val="0"/>
        <w:pageBreakBefore w:val="0"/>
        <w:widowControl/>
        <w:numPr>
          <w:ilvl w:val="0"/>
          <w:numId w:val="0"/>
        </w:numPr>
        <w:kinsoku/>
        <w:wordWrap/>
        <w:overflowPunct/>
        <w:topLinePunct w:val="0"/>
        <w:bidi w:val="0"/>
        <w:snapToGrid/>
        <w:spacing w:beforeAutospacing="0" w:afterAutospacing="0" w:line="560" w:lineRule="exact"/>
        <w:ind w:right="0" w:rightChars="0"/>
        <w:jc w:val="both"/>
        <w:textAlignment w:val="auto"/>
        <w:rPr>
          <w:rFonts w:hint="eastAsia" w:ascii="黑体" w:hAnsi="黑体" w:eastAsia="黑体" w:cs="黑体"/>
          <w:color w:val="auto"/>
          <w:kern w:val="2"/>
          <w:sz w:val="32"/>
          <w:szCs w:val="32"/>
          <w:highlight w:val="none"/>
          <w:lang w:eastAsia="zh-CN"/>
        </w:rPr>
      </w:pPr>
    </w:p>
    <w:p w14:paraId="693E02E6">
      <w:pPr>
        <w:pStyle w:val="3"/>
        <w:keepNext w:val="0"/>
        <w:keepLines w:val="0"/>
        <w:pageBreakBefore w:val="0"/>
        <w:widowControl/>
        <w:numPr>
          <w:ilvl w:val="0"/>
          <w:numId w:val="0"/>
        </w:numPr>
        <w:kinsoku/>
        <w:wordWrap/>
        <w:overflowPunct/>
        <w:topLinePunct w:val="0"/>
        <w:bidi w:val="0"/>
        <w:snapToGrid/>
        <w:spacing w:beforeAutospacing="0" w:afterAutospacing="0" w:line="560" w:lineRule="exact"/>
        <w:ind w:right="0" w:rightChars="0"/>
        <w:jc w:val="center"/>
        <w:textAlignment w:val="auto"/>
        <w:rPr>
          <w:rFonts w:hint="eastAsia" w:ascii="黑体" w:hAnsi="黑体" w:eastAsia="黑体" w:cs="黑体"/>
          <w:color w:val="auto"/>
          <w:kern w:val="2"/>
          <w:sz w:val="32"/>
          <w:szCs w:val="32"/>
          <w:highlight w:val="none"/>
          <w:lang w:eastAsia="zh-CN"/>
        </w:rPr>
      </w:pPr>
      <w:r>
        <w:rPr>
          <w:rFonts w:hint="eastAsia" w:ascii="黑体" w:hAnsi="黑体" w:eastAsia="黑体" w:cs="黑体"/>
          <w:color w:val="auto"/>
          <w:kern w:val="2"/>
          <w:sz w:val="32"/>
          <w:szCs w:val="32"/>
          <w:highlight w:val="none"/>
          <w:lang w:eastAsia="zh-CN"/>
        </w:rPr>
        <w:t>三、</w:t>
      </w:r>
      <w:r>
        <w:rPr>
          <w:rFonts w:hint="eastAsia" w:ascii="黑体" w:hAnsi="黑体" w:eastAsia="黑体" w:cs="黑体"/>
          <w:color w:val="auto"/>
          <w:kern w:val="2"/>
          <w:sz w:val="32"/>
          <w:szCs w:val="32"/>
          <w:highlight w:val="none"/>
        </w:rPr>
        <w:t>乡村建设规划许可</w:t>
      </w:r>
      <w:r>
        <w:rPr>
          <w:rFonts w:hint="eastAsia" w:ascii="黑体" w:hAnsi="黑体" w:eastAsia="黑体" w:cs="黑体"/>
          <w:color w:val="auto"/>
          <w:kern w:val="2"/>
          <w:sz w:val="32"/>
          <w:szCs w:val="32"/>
          <w:highlight w:val="none"/>
          <w:lang w:eastAsia="zh-CN"/>
        </w:rPr>
        <w:t>事中事后监管细则</w:t>
      </w:r>
    </w:p>
    <w:p w14:paraId="27D93A76">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黑体" w:hAnsi="黑体" w:eastAsia="黑体" w:cs="黑体"/>
          <w:color w:val="auto"/>
          <w:kern w:val="2"/>
          <w:sz w:val="32"/>
          <w:szCs w:val="32"/>
          <w:highlight w:val="none"/>
          <w:lang w:eastAsia="zh-CN"/>
        </w:rPr>
      </w:pPr>
      <w:r>
        <w:rPr>
          <w:rFonts w:hint="eastAsia" w:ascii="黑体" w:hAnsi="黑体" w:eastAsia="黑体" w:cs="黑体"/>
          <w:color w:val="auto"/>
          <w:kern w:val="2"/>
          <w:sz w:val="32"/>
          <w:szCs w:val="32"/>
          <w:highlight w:val="none"/>
          <w:lang w:eastAsia="zh-CN"/>
        </w:rPr>
        <w:t>（行政许可）</w:t>
      </w:r>
    </w:p>
    <w:p w14:paraId="5842AF6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为深入推进简政放权、放管结合、优化服务，加强对</w:t>
      </w:r>
      <w:r>
        <w:rPr>
          <w:rFonts w:hint="default" w:ascii="Times New Roman" w:hAnsi="Times New Roman" w:cs="Times New Roman"/>
          <w:strike w:val="0"/>
          <w:dstrike w:val="0"/>
          <w:color w:val="auto"/>
          <w:sz w:val="32"/>
          <w:szCs w:val="32"/>
          <w:highlight w:val="none"/>
          <w:lang w:eastAsia="zh-CN"/>
        </w:rPr>
        <w:t>乡村建设规划许可</w:t>
      </w:r>
      <w:r>
        <w:rPr>
          <w:rFonts w:hint="default" w:ascii="Times New Roman" w:hAnsi="Times New Roman" w:cs="Times New Roman"/>
          <w:strike w:val="0"/>
          <w:dstrike w:val="0"/>
          <w:color w:val="auto"/>
          <w:sz w:val="32"/>
          <w:szCs w:val="32"/>
          <w:highlight w:val="none"/>
        </w:rPr>
        <w:t>的监管，规范政府权力运行，根据相关法律法规和《安徽省政府权力运行监督管理办法》，结合我区</w:t>
      </w:r>
      <w:r>
        <w:rPr>
          <w:rFonts w:hint="default" w:ascii="Times New Roman" w:hAnsi="Times New Roman" w:cs="Times New Roman"/>
          <w:strike w:val="0"/>
          <w:dstrike w:val="0"/>
          <w:color w:val="auto"/>
          <w:sz w:val="32"/>
          <w:szCs w:val="32"/>
          <w:highlight w:val="none"/>
          <w:lang w:eastAsia="zh-CN"/>
        </w:rPr>
        <w:t>镇街</w:t>
      </w:r>
      <w:r>
        <w:rPr>
          <w:rFonts w:hint="default" w:ascii="Times New Roman" w:hAnsi="Times New Roman" w:cs="Times New Roman"/>
          <w:strike w:val="0"/>
          <w:dstrike w:val="0"/>
          <w:color w:val="auto"/>
          <w:sz w:val="32"/>
          <w:szCs w:val="32"/>
          <w:highlight w:val="none"/>
        </w:rPr>
        <w:t>实际，制定本监管细则。</w:t>
      </w:r>
    </w:p>
    <w:p w14:paraId="47E0F85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trike w:val="0"/>
          <w:dstrike w:val="0"/>
          <w:color w:val="auto"/>
          <w:sz w:val="32"/>
          <w:szCs w:val="32"/>
          <w:highlight w:val="none"/>
        </w:rPr>
      </w:pPr>
      <w:r>
        <w:rPr>
          <w:rFonts w:hint="default" w:ascii="Times New Roman" w:hAnsi="Times New Roman" w:cs="Times New Roman"/>
          <w:strike w:val="0"/>
          <w:dstrike w:val="0"/>
          <w:color w:val="auto"/>
          <w:sz w:val="32"/>
          <w:szCs w:val="32"/>
          <w:highlight w:val="none"/>
        </w:rPr>
        <w:t>本细则对应</w:t>
      </w:r>
      <w:r>
        <w:rPr>
          <w:rFonts w:hint="default" w:ascii="Times New Roman" w:hAnsi="Times New Roman" w:eastAsia="仿宋_GB2312" w:cs="Times New Roman"/>
          <w:strike w:val="0"/>
          <w:dstrike w:val="0"/>
          <w:color w:val="auto"/>
          <w:kern w:val="0"/>
          <w:sz w:val="32"/>
          <w:szCs w:val="32"/>
          <w:highlight w:val="none"/>
          <w:shd w:val="clear" w:fill="FFFFFF"/>
          <w:lang w:val="en-US" w:eastAsia="zh-CN" w:bidi="ar"/>
        </w:rPr>
        <w:t>《屯溪区镇（街道）审批事项清单》</w:t>
      </w:r>
      <w:r>
        <w:rPr>
          <w:rFonts w:hint="default" w:ascii="Times New Roman" w:hAnsi="Times New Roman" w:cs="Times New Roman"/>
          <w:strike w:val="0"/>
          <w:dstrike w:val="0"/>
          <w:color w:val="auto"/>
          <w:sz w:val="32"/>
          <w:szCs w:val="32"/>
          <w:highlight w:val="none"/>
        </w:rPr>
        <w:t>行政许可类第</w:t>
      </w:r>
      <w:r>
        <w:rPr>
          <w:rFonts w:hint="default" w:ascii="Times New Roman" w:hAnsi="Times New Roman" w:cs="Times New Roman"/>
          <w:strike w:val="0"/>
          <w:dstrike w:val="0"/>
          <w:color w:val="auto"/>
          <w:sz w:val="32"/>
          <w:szCs w:val="32"/>
          <w:highlight w:val="none"/>
          <w:lang w:val="en-US" w:eastAsia="zh-CN"/>
        </w:rPr>
        <w:t>3</w:t>
      </w:r>
      <w:r>
        <w:rPr>
          <w:rFonts w:hint="default" w:ascii="Times New Roman" w:hAnsi="Times New Roman" w:cs="Times New Roman"/>
          <w:strike w:val="0"/>
          <w:dstrike w:val="0"/>
          <w:color w:val="auto"/>
          <w:sz w:val="32"/>
          <w:szCs w:val="32"/>
          <w:highlight w:val="none"/>
        </w:rPr>
        <w:t>项，项目名称：乡村建设规划许可</w:t>
      </w:r>
    </w:p>
    <w:p w14:paraId="6F17C71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ar"/>
        </w:rPr>
      </w:pPr>
      <w:r>
        <w:rPr>
          <w:rFonts w:hint="default" w:ascii="Times New Roman" w:hAnsi="Times New Roman" w:eastAsia="黑体" w:cs="Times New Roman"/>
          <w:bCs/>
          <w:color w:val="auto"/>
          <w:sz w:val="32"/>
          <w:szCs w:val="32"/>
          <w:highlight w:val="none"/>
          <w:lang w:bidi="ar"/>
        </w:rPr>
        <w:t>《中华人民共和国城乡规划法》（2019年修正）第四十一条：</w:t>
      </w:r>
      <w:r>
        <w:rPr>
          <w:rFonts w:hint="default" w:ascii="Times New Roman" w:hAnsi="Times New Roman" w:eastAsia="仿宋_GB2312" w:cs="Times New Roman"/>
          <w:bCs/>
          <w:color w:val="auto"/>
          <w:sz w:val="32"/>
          <w:szCs w:val="32"/>
          <w:highlight w:val="none"/>
          <w:lang w:bidi="ar"/>
        </w:rPr>
        <w:t>在乡、村庄规划区内进行乡镇企业、乡村公共设施和公益事业建设的，建设单位或者个人应当向乡、镇人民政府提出申请，由乡、镇人民政府报城市、</w:t>
      </w:r>
      <w:r>
        <w:rPr>
          <w:rFonts w:hint="eastAsia" w:cs="Times New Roman"/>
          <w:bCs/>
          <w:color w:val="auto"/>
          <w:sz w:val="32"/>
          <w:szCs w:val="32"/>
          <w:highlight w:val="none"/>
          <w:lang w:val="en-US" w:eastAsia="zh-CN" w:bidi="ar"/>
        </w:rPr>
        <w:t>县（区）</w:t>
      </w:r>
      <w:r>
        <w:rPr>
          <w:rFonts w:hint="default" w:ascii="Times New Roman" w:hAnsi="Times New Roman" w:eastAsia="仿宋_GB2312" w:cs="Times New Roman"/>
          <w:bCs/>
          <w:color w:val="auto"/>
          <w:sz w:val="32"/>
          <w:szCs w:val="32"/>
          <w:highlight w:val="none"/>
          <w:lang w:bidi="ar"/>
        </w:rPr>
        <w:t>人民政府城乡规划主管部门核发乡村建设规划许可证。</w:t>
      </w:r>
    </w:p>
    <w:p w14:paraId="4D32F4A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ar"/>
        </w:rPr>
      </w:pPr>
      <w:r>
        <w:rPr>
          <w:rFonts w:hint="default" w:ascii="Times New Roman" w:hAnsi="Times New Roman" w:eastAsia="仿宋_GB2312" w:cs="Times New Roman"/>
          <w:bCs/>
          <w:color w:val="auto"/>
          <w:sz w:val="32"/>
          <w:szCs w:val="32"/>
          <w:highlight w:val="none"/>
          <w:lang w:bidi="ar"/>
        </w:rPr>
        <w:t>在乡、村庄规划区内使用原有宅基地进行农村村民住宅建设的规划管理办法，由省、自治区、直辖市制定。</w:t>
      </w:r>
    </w:p>
    <w:p w14:paraId="6BA2DC1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ar"/>
        </w:rPr>
      </w:pPr>
      <w:r>
        <w:rPr>
          <w:rFonts w:hint="default" w:ascii="Times New Roman" w:hAnsi="Times New Roman" w:eastAsia="仿宋_GB2312" w:cs="Times New Roman"/>
          <w:bCs/>
          <w:color w:val="auto"/>
          <w:sz w:val="32"/>
          <w:szCs w:val="32"/>
          <w:highlight w:val="none"/>
          <w:lang w:bidi="ar"/>
        </w:rPr>
        <w:t>在乡、村庄规划区内进行乡镇企业、乡村公共设施和公益事业建设以及农村村民住宅建设，不得占用农用地;确需占用农用地的，应当依照《中华人民共和国土地管理法》有关规定办理农用地转用审批手续后，由城市、县</w:t>
      </w:r>
      <w:r>
        <w:rPr>
          <w:rFonts w:hint="eastAsia" w:cs="Times New Roman"/>
          <w:bCs/>
          <w:color w:val="auto"/>
          <w:sz w:val="32"/>
          <w:szCs w:val="32"/>
          <w:highlight w:val="none"/>
          <w:lang w:eastAsia="zh-CN" w:bidi="ar"/>
        </w:rPr>
        <w:t>（</w:t>
      </w:r>
      <w:r>
        <w:rPr>
          <w:rFonts w:hint="eastAsia" w:cs="Times New Roman"/>
          <w:bCs/>
          <w:color w:val="auto"/>
          <w:sz w:val="32"/>
          <w:szCs w:val="32"/>
          <w:highlight w:val="none"/>
          <w:lang w:val="en-US" w:eastAsia="zh-CN" w:bidi="ar"/>
        </w:rPr>
        <w:t>区</w:t>
      </w:r>
      <w:r>
        <w:rPr>
          <w:rFonts w:hint="eastAsia" w:cs="Times New Roman"/>
          <w:bCs/>
          <w:color w:val="auto"/>
          <w:sz w:val="32"/>
          <w:szCs w:val="32"/>
          <w:highlight w:val="none"/>
          <w:lang w:eastAsia="zh-CN" w:bidi="ar"/>
        </w:rPr>
        <w:t>）</w:t>
      </w:r>
      <w:r>
        <w:rPr>
          <w:rFonts w:hint="default" w:ascii="Times New Roman" w:hAnsi="Times New Roman" w:eastAsia="仿宋_GB2312" w:cs="Times New Roman"/>
          <w:bCs/>
          <w:color w:val="auto"/>
          <w:sz w:val="32"/>
          <w:szCs w:val="32"/>
          <w:highlight w:val="none"/>
          <w:lang w:bidi="ar"/>
        </w:rPr>
        <w:t>人民政府城乡规划主管部门核发乡村建设规划许可证。</w:t>
      </w:r>
    </w:p>
    <w:p w14:paraId="379B647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ar"/>
        </w:rPr>
      </w:pPr>
      <w:r>
        <w:rPr>
          <w:rFonts w:hint="default" w:ascii="Times New Roman" w:hAnsi="Times New Roman" w:eastAsia="仿宋_GB2312" w:cs="Times New Roman"/>
          <w:bCs/>
          <w:color w:val="auto"/>
          <w:sz w:val="32"/>
          <w:szCs w:val="32"/>
          <w:highlight w:val="none"/>
          <w:lang w:bidi="ar"/>
        </w:rPr>
        <w:t>建设单位或者个人在取得乡村建设规划许可证后，方可办理用地审批手续。</w:t>
      </w:r>
    </w:p>
    <w:p w14:paraId="7CE00DC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ar"/>
        </w:rPr>
      </w:pPr>
      <w:r>
        <w:rPr>
          <w:rFonts w:hint="default" w:ascii="Times New Roman" w:hAnsi="Times New Roman" w:eastAsia="黑体" w:cs="Times New Roman"/>
          <w:bCs/>
          <w:color w:val="auto"/>
          <w:sz w:val="32"/>
          <w:szCs w:val="32"/>
          <w:highlight w:val="none"/>
          <w:lang w:bidi="ar"/>
        </w:rPr>
        <w:t>《安徽省城乡规划条例》（2010年安徽省人民代表大会常务委员会公告第30号）第三十一条：</w:t>
      </w:r>
      <w:r>
        <w:rPr>
          <w:rFonts w:hint="default" w:ascii="Times New Roman" w:hAnsi="Times New Roman" w:eastAsia="仿宋_GB2312" w:cs="Times New Roman"/>
          <w:bCs/>
          <w:color w:val="auto"/>
          <w:sz w:val="32"/>
          <w:szCs w:val="32"/>
          <w:highlight w:val="none"/>
          <w:lang w:bidi="ar"/>
        </w:rPr>
        <w:t>在乡、村庄规划区内进行乡镇企业、乡村公共设施和公益事业建设的单位或者个人，应当在办理用地审批手续前，持村民委员会书面同意意见和项目批准、核准或者备案文件以及建设工程设计方案，向镇、乡人民政府提出申请；确需占用农用地的，还应当提供农用地转用批准材料。镇、乡人民政府应当自收到申请之日起十日内提出审查意见，报城市、县</w:t>
      </w:r>
      <w:r>
        <w:rPr>
          <w:rFonts w:hint="eastAsia" w:cs="Times New Roman"/>
          <w:bCs/>
          <w:color w:val="auto"/>
          <w:sz w:val="32"/>
          <w:szCs w:val="32"/>
          <w:highlight w:val="none"/>
          <w:lang w:eastAsia="zh-CN" w:bidi="ar"/>
        </w:rPr>
        <w:t>（</w:t>
      </w:r>
      <w:r>
        <w:rPr>
          <w:rFonts w:hint="eastAsia" w:cs="Times New Roman"/>
          <w:bCs/>
          <w:color w:val="auto"/>
          <w:sz w:val="32"/>
          <w:szCs w:val="32"/>
          <w:highlight w:val="none"/>
          <w:lang w:val="en-US" w:eastAsia="zh-CN" w:bidi="ar"/>
        </w:rPr>
        <w:t>区</w:t>
      </w:r>
      <w:r>
        <w:rPr>
          <w:rFonts w:hint="eastAsia" w:cs="Times New Roman"/>
          <w:bCs/>
          <w:color w:val="auto"/>
          <w:sz w:val="32"/>
          <w:szCs w:val="32"/>
          <w:highlight w:val="none"/>
          <w:lang w:eastAsia="zh-CN" w:bidi="ar"/>
        </w:rPr>
        <w:t>）</w:t>
      </w:r>
      <w:r>
        <w:rPr>
          <w:rFonts w:hint="default" w:ascii="Times New Roman" w:hAnsi="Times New Roman" w:eastAsia="仿宋_GB2312" w:cs="Times New Roman"/>
          <w:bCs/>
          <w:color w:val="auto"/>
          <w:sz w:val="32"/>
          <w:szCs w:val="32"/>
          <w:highlight w:val="none"/>
          <w:lang w:bidi="ar"/>
        </w:rPr>
        <w:t>人民政府城乡规划主管部门。城乡规划主管部门应当自收到审查意见之日起十五日内作出决定，符合乡规划或者村庄规划的，核发乡村建设规划许可证;不符合乡规划或者村庄规划的，不予核发乡村建设规划许可证，书面告知申请人，并说明理由。</w:t>
      </w:r>
    </w:p>
    <w:p w14:paraId="031B65C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ar"/>
        </w:rPr>
      </w:pPr>
      <w:r>
        <w:rPr>
          <w:rFonts w:hint="default" w:ascii="Times New Roman" w:hAnsi="Times New Roman" w:eastAsia="黑体" w:cs="Times New Roman"/>
          <w:bCs/>
          <w:color w:val="auto"/>
          <w:sz w:val="32"/>
          <w:szCs w:val="32"/>
          <w:highlight w:val="none"/>
          <w:lang w:bidi="ar"/>
        </w:rPr>
        <w:t>第三十二条：</w:t>
      </w:r>
      <w:r>
        <w:rPr>
          <w:rFonts w:hint="default" w:ascii="Times New Roman" w:hAnsi="Times New Roman" w:eastAsia="仿宋_GB2312" w:cs="Times New Roman"/>
          <w:bCs/>
          <w:color w:val="auto"/>
          <w:sz w:val="32"/>
          <w:szCs w:val="32"/>
          <w:highlight w:val="none"/>
          <w:lang w:bidi="ar"/>
        </w:rPr>
        <w:t>在乡、村庄规划区内进行农村村民住宅建设的，申请人应当持村民委员会证明材料、户口簿及其复印件，向镇、乡人民政府提出申请。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确需占用农用地的，申请人还应当提供农用地转用批准材料。镇、乡人民政府应当自收到申请之日起十日内提出审查意见，报城市、县</w:t>
      </w:r>
      <w:r>
        <w:rPr>
          <w:rFonts w:hint="eastAsia" w:cs="Times New Roman"/>
          <w:bCs/>
          <w:color w:val="auto"/>
          <w:sz w:val="32"/>
          <w:szCs w:val="32"/>
          <w:highlight w:val="none"/>
          <w:lang w:eastAsia="zh-CN" w:bidi="ar"/>
        </w:rPr>
        <w:t>（</w:t>
      </w:r>
      <w:r>
        <w:rPr>
          <w:rFonts w:hint="eastAsia" w:cs="Times New Roman"/>
          <w:bCs/>
          <w:color w:val="auto"/>
          <w:sz w:val="32"/>
          <w:szCs w:val="32"/>
          <w:highlight w:val="none"/>
          <w:lang w:val="en-US" w:eastAsia="zh-CN" w:bidi="ar"/>
        </w:rPr>
        <w:t>区</w:t>
      </w:r>
      <w:r>
        <w:rPr>
          <w:rFonts w:hint="eastAsia" w:cs="Times New Roman"/>
          <w:bCs/>
          <w:color w:val="auto"/>
          <w:sz w:val="32"/>
          <w:szCs w:val="32"/>
          <w:highlight w:val="none"/>
          <w:lang w:eastAsia="zh-CN" w:bidi="ar"/>
        </w:rPr>
        <w:t>）</w:t>
      </w:r>
      <w:r>
        <w:rPr>
          <w:rFonts w:hint="default" w:ascii="Times New Roman" w:hAnsi="Times New Roman" w:eastAsia="仿宋_GB2312" w:cs="Times New Roman"/>
          <w:bCs/>
          <w:color w:val="auto"/>
          <w:sz w:val="32"/>
          <w:szCs w:val="32"/>
          <w:highlight w:val="none"/>
          <w:lang w:bidi="ar"/>
        </w:rPr>
        <w:t>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14:paraId="2E6A8EC3">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7496148F">
      <w:pPr>
        <w:pStyle w:val="3"/>
        <w:keepNext w:val="0"/>
        <w:keepLines w:val="0"/>
        <w:pageBreakBefore w:val="0"/>
        <w:widowControl/>
        <w:numPr>
          <w:ilvl w:val="0"/>
          <w:numId w:val="0"/>
        </w:numPr>
        <w:kinsoku/>
        <w:wordWrap/>
        <w:overflowPunct/>
        <w:topLinePunct w:val="0"/>
        <w:bidi w:val="0"/>
        <w:snapToGrid/>
        <w:spacing w:beforeAutospacing="0" w:afterAutospacing="0" w:line="560" w:lineRule="exact"/>
        <w:ind w:right="0" w:rightChars="0"/>
        <w:jc w:val="both"/>
        <w:textAlignment w:val="auto"/>
        <w:rPr>
          <w:rFonts w:hint="eastAsia" w:ascii="黑体" w:hAnsi="黑体" w:eastAsia="黑体" w:cs="黑体"/>
          <w:color w:val="auto"/>
          <w:kern w:val="2"/>
          <w:sz w:val="32"/>
          <w:szCs w:val="32"/>
          <w:highlight w:val="none"/>
          <w:lang w:val="en-US" w:eastAsia="zh-CN"/>
        </w:rPr>
      </w:pPr>
    </w:p>
    <w:p w14:paraId="588C3A23">
      <w:pPr>
        <w:keepNext w:val="0"/>
        <w:keepLines w:val="0"/>
        <w:pageBreakBefore w:val="0"/>
        <w:kinsoku/>
        <w:wordWrap/>
        <w:overflowPunct/>
        <w:topLinePunct w:val="0"/>
        <w:bidi w:val="0"/>
        <w:snapToGrid/>
        <w:spacing w:line="560" w:lineRule="exact"/>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br w:type="page"/>
      </w:r>
    </w:p>
    <w:p w14:paraId="0D657E2D">
      <w:pPr>
        <w:pStyle w:val="3"/>
        <w:keepNext w:val="0"/>
        <w:keepLines w:val="0"/>
        <w:pageBreakBefore w:val="0"/>
        <w:widowControl/>
        <w:numPr>
          <w:ilvl w:val="0"/>
          <w:numId w:val="0"/>
        </w:numPr>
        <w:kinsoku/>
        <w:wordWrap/>
        <w:overflowPunct/>
        <w:topLinePunct w:val="0"/>
        <w:bidi w:val="0"/>
        <w:snapToGrid/>
        <w:spacing w:beforeAutospacing="0" w:afterAutospacing="0" w:line="560" w:lineRule="exact"/>
        <w:ind w:right="0" w:rightChars="0"/>
        <w:jc w:val="center"/>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四、在村庄、集镇规划区内公共场所修建临时建筑等设施</w:t>
      </w:r>
    </w:p>
    <w:p w14:paraId="5205B753">
      <w:pPr>
        <w:pStyle w:val="3"/>
        <w:keepNext w:val="0"/>
        <w:keepLines w:val="0"/>
        <w:pageBreakBefore w:val="0"/>
        <w:widowControl/>
        <w:numPr>
          <w:ilvl w:val="0"/>
          <w:numId w:val="0"/>
        </w:numPr>
        <w:kinsoku/>
        <w:wordWrap/>
        <w:overflowPunct/>
        <w:topLinePunct w:val="0"/>
        <w:bidi w:val="0"/>
        <w:snapToGrid/>
        <w:spacing w:beforeAutospacing="0" w:afterAutospacing="0" w:line="560" w:lineRule="exact"/>
        <w:ind w:right="0" w:rightChars="0" w:firstLine="2560" w:firstLineChars="800"/>
        <w:jc w:val="both"/>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审批事中事后监管细则</w:t>
      </w:r>
    </w:p>
    <w:p w14:paraId="3654E019">
      <w:pPr>
        <w:pStyle w:val="3"/>
        <w:keepNext w:val="0"/>
        <w:keepLines w:val="0"/>
        <w:pageBreakBefore w:val="0"/>
        <w:widowControl/>
        <w:numPr>
          <w:ilvl w:val="0"/>
          <w:numId w:val="0"/>
        </w:numPr>
        <w:kinsoku/>
        <w:wordWrap/>
        <w:overflowPunct/>
        <w:topLinePunct w:val="0"/>
        <w:bidi w:val="0"/>
        <w:snapToGrid/>
        <w:spacing w:beforeAutospacing="0" w:afterAutospacing="0" w:line="560" w:lineRule="exact"/>
        <w:ind w:right="0" w:rightChars="0"/>
        <w:jc w:val="center"/>
        <w:textAlignment w:val="auto"/>
        <w:rPr>
          <w:rFonts w:hint="eastAsia" w:ascii="黑体" w:hAnsi="黑体" w:eastAsia="黑体" w:cs="黑体"/>
          <w:color w:val="auto"/>
          <w:kern w:val="2"/>
          <w:sz w:val="32"/>
          <w:szCs w:val="32"/>
          <w:highlight w:val="none"/>
          <w:lang w:eastAsia="zh-CN"/>
        </w:rPr>
      </w:pPr>
      <w:r>
        <w:rPr>
          <w:rFonts w:hint="eastAsia" w:ascii="黑体" w:hAnsi="黑体" w:eastAsia="黑体" w:cs="黑体"/>
          <w:color w:val="auto"/>
          <w:kern w:val="2"/>
          <w:sz w:val="32"/>
          <w:szCs w:val="32"/>
          <w:highlight w:val="none"/>
          <w:lang w:val="en-US" w:eastAsia="zh-CN"/>
        </w:rPr>
        <w:t>（行政许可）</w:t>
      </w:r>
    </w:p>
    <w:p w14:paraId="31D041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深入推进简政放权、依法行政、优化服务，加强行政权力运行监管工作，规范行政行为，根据《村庄和集镇规划建设管理条例》和《安徽省政府权力运行监督管理办法》等相关法律法规，结合工作实际，制定本监管细则。</w:t>
      </w:r>
    </w:p>
    <w:p w14:paraId="0633B5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本细则对应</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屯溪区镇</w:t>
      </w:r>
      <w:r>
        <w:rPr>
          <w:rFonts w:hint="default" w:ascii="Times New Roman" w:hAnsi="Times New Roman" w:cs="Times New Roman"/>
          <w:color w:val="auto"/>
          <w:sz w:val="32"/>
          <w:szCs w:val="32"/>
          <w:highlight w:val="none"/>
          <w:lang w:val="en-US" w:eastAsia="zh-CN"/>
        </w:rPr>
        <w:t>（街道）</w:t>
      </w:r>
      <w:r>
        <w:rPr>
          <w:rFonts w:hint="default" w:ascii="Times New Roman" w:hAnsi="Times New Roman" w:cs="Times New Roman"/>
          <w:color w:val="auto"/>
          <w:sz w:val="32"/>
          <w:szCs w:val="32"/>
          <w:highlight w:val="none"/>
          <w:lang w:val="zh-CN"/>
        </w:rPr>
        <w:t>审批事项</w:t>
      </w:r>
      <w:r>
        <w:rPr>
          <w:rFonts w:hint="default" w:ascii="Times New Roman" w:hAnsi="Times New Roman" w:eastAsia="仿宋_GB2312" w:cs="Times New Roman"/>
          <w:color w:val="auto"/>
          <w:sz w:val="32"/>
          <w:szCs w:val="32"/>
          <w:highlight w:val="none"/>
          <w:lang w:val="zh-CN"/>
        </w:rPr>
        <w:t>清单</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rPr>
        <w:t>第</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项，项目名称：在村庄、集镇规划区修建临时建筑物、构筑物和其他设施的批准。</w:t>
      </w:r>
    </w:p>
    <w:p w14:paraId="1B6CC5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一、监管要求</w:t>
      </w:r>
    </w:p>
    <w:p w14:paraId="1968F7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《村庄和集镇规划建设管理条例》第三十二条：未经乡级人民政府批准，任何单位和个人不得擅自在村庄、集镇规划区内的街道、广场、市场和车站等场所修建临时建筑物、构筑物和其他设施。</w:t>
      </w:r>
    </w:p>
    <w:p w14:paraId="223EBD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二、事中监管</w:t>
      </w:r>
    </w:p>
    <w:p w14:paraId="18395B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（一）监管对象</w:t>
      </w:r>
    </w:p>
    <w:p w14:paraId="7CC3CC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在村庄、集镇规划区内修建临时建筑物、构筑物和其他设施的批准单位和个人。</w:t>
      </w:r>
    </w:p>
    <w:p w14:paraId="0F2EB2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（二）监管内容</w:t>
      </w:r>
    </w:p>
    <w:p w14:paraId="70182D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1.一次性告知补正材料；依法受理或不予受理（不予受理应当告知理由）；</w:t>
      </w:r>
    </w:p>
    <w:p w14:paraId="77BB02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2.对申请单位提交的申请材料进行审查，申请材料齐全，符合法定形式的，作出决定；</w:t>
      </w:r>
    </w:p>
    <w:p w14:paraId="3FDD2E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3.作出是否准予的决定。</w:t>
      </w:r>
    </w:p>
    <w:p w14:paraId="34811E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（三）协同监管</w:t>
      </w:r>
    </w:p>
    <w:p w14:paraId="4DFF9D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1.按照权责匹配、权责一致的原则，加强与上级部门沟通协作，构建政府监管、社会监督联动，健全监管管理机制。</w:t>
      </w:r>
    </w:p>
    <w:p w14:paraId="1DA7A0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2.建立健全完善协同监管网络，推进政府权力运行监管信息互联互通，及时通报违法违规行为查处情况，实现监管过程和结果的可查询、可监督。</w:t>
      </w:r>
    </w:p>
    <w:p w14:paraId="4EBFB5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（四）信用监管</w:t>
      </w:r>
    </w:p>
    <w:p w14:paraId="6C5364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建立信用档案，采集、记录日常监管、违法违规、举报投诉、表彰奖励等信息，定期评定信用等级，并根据评定结果，对失信单位加大监督检查频次，实施重点监管。</w:t>
      </w:r>
    </w:p>
    <w:p w14:paraId="440420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三、事后监管</w:t>
      </w:r>
    </w:p>
    <w:p w14:paraId="669359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1.公布举报电话和邮箱，接受投诉举报，属于职权范围，依法受理并及时核实处理；不属于职权范围，引导找相关部门解决；涉嫌构成犯罪的，移交司法机关处理。</w:t>
      </w:r>
    </w:p>
    <w:p w14:paraId="236C69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2.推行信息公开公示制度。落实信息公示责任，做到办理环节公开透明，办理结果向社会公开，接受监督。</w:t>
      </w:r>
    </w:p>
    <w:p w14:paraId="119CAB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四、责任追究</w:t>
      </w:r>
    </w:p>
    <w:p w14:paraId="586BC0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因不履行或不正确履行行政职责，有下列情形的，行政机关及相关工作人员应承担相应责任：</w:t>
      </w:r>
    </w:p>
    <w:p w14:paraId="01F79B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1.对符合法定条件的申请不予受理、许可的；</w:t>
      </w:r>
    </w:p>
    <w:p w14:paraId="140E90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2.对不符合有关法律法规的予以核准的；</w:t>
      </w:r>
    </w:p>
    <w:p w14:paraId="3894DF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3.擅自增设、变更涉及核准程序或核准条件的；</w:t>
      </w:r>
    </w:p>
    <w:p w14:paraId="5142F6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4.收受贿赂、获取其他利益，或者为他人谋取不正当利益提供方便的；</w:t>
      </w:r>
    </w:p>
    <w:p w14:paraId="74A7D5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5.其他违反法律法规政策规定的行为。</w:t>
      </w:r>
    </w:p>
    <w:p w14:paraId="30AF55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五、保障措施</w:t>
      </w:r>
    </w:p>
    <w:p w14:paraId="3C62CF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1.加强政治理论、政策法规、党纪政纪和业务知识学习。</w:t>
      </w:r>
    </w:p>
    <w:p w14:paraId="0C02F5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2.建立健全管理制度，强化责任意识，提高工作制度化、规范化水平。</w:t>
      </w:r>
    </w:p>
    <w:p w14:paraId="72D254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lang w:val="en-US" w:eastAsia="zh-CN"/>
        </w:rPr>
        <w:t>强化责任追究，对工作中故意造假的严肃追究相关责任。</w:t>
      </w:r>
    </w:p>
    <w:p w14:paraId="2BD8399D">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24939B3A">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2AAEA460">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1E858538">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77F19CE4">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62E13FE2">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4440E774">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2E80AB95">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749A6FE0">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黑体" w:cs="Times New Roman"/>
          <w:b w:val="0"/>
          <w:bCs/>
          <w:color w:val="auto"/>
          <w:sz w:val="32"/>
          <w:szCs w:val="32"/>
          <w:highlight w:val="none"/>
          <w:lang w:eastAsia="zh-CN" w:bidi="ar"/>
        </w:rPr>
      </w:pPr>
    </w:p>
    <w:p w14:paraId="5847DC80">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b w:val="0"/>
          <w:bCs/>
          <w:color w:val="auto"/>
          <w:sz w:val="32"/>
          <w:szCs w:val="32"/>
          <w:highlight w:val="none"/>
          <w:lang w:eastAsia="zh-CN" w:bidi="ar"/>
        </w:rPr>
      </w:pPr>
    </w:p>
    <w:p w14:paraId="1FF325B3">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b w:val="0"/>
          <w:bCs/>
          <w:color w:val="auto"/>
          <w:sz w:val="32"/>
          <w:szCs w:val="32"/>
          <w:highlight w:val="none"/>
          <w:lang w:bidi="ar"/>
        </w:rPr>
      </w:pPr>
      <w:r>
        <w:rPr>
          <w:rFonts w:hint="default" w:ascii="Times New Roman" w:hAnsi="Times New Roman" w:eastAsia="黑体" w:cs="Times New Roman"/>
          <w:b w:val="0"/>
          <w:bCs/>
          <w:color w:val="auto"/>
          <w:sz w:val="32"/>
          <w:szCs w:val="32"/>
          <w:highlight w:val="none"/>
          <w:lang w:eastAsia="zh-CN" w:bidi="ar"/>
        </w:rPr>
        <w:t>五、</w:t>
      </w:r>
      <w:r>
        <w:rPr>
          <w:rFonts w:hint="default" w:ascii="Times New Roman" w:hAnsi="Times New Roman" w:eastAsia="黑体" w:cs="Times New Roman"/>
          <w:b w:val="0"/>
          <w:bCs/>
          <w:color w:val="auto"/>
          <w:sz w:val="32"/>
          <w:szCs w:val="32"/>
          <w:highlight w:val="none"/>
          <w:lang w:bidi="ar"/>
        </w:rPr>
        <w:t>工商企业等社会资本通过流转取得土地经营权审批</w:t>
      </w:r>
    </w:p>
    <w:p w14:paraId="41E2B38D">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b w:val="0"/>
          <w:bCs/>
          <w:color w:val="auto"/>
          <w:sz w:val="32"/>
          <w:szCs w:val="32"/>
          <w:highlight w:val="none"/>
          <w:lang w:eastAsia="zh-CN" w:bidi="ar"/>
        </w:rPr>
      </w:pPr>
      <w:r>
        <w:rPr>
          <w:rFonts w:hint="default" w:ascii="Times New Roman" w:hAnsi="Times New Roman" w:eastAsia="黑体" w:cs="Times New Roman"/>
          <w:b w:val="0"/>
          <w:bCs/>
          <w:color w:val="auto"/>
          <w:sz w:val="32"/>
          <w:szCs w:val="32"/>
          <w:highlight w:val="none"/>
          <w:lang w:eastAsia="zh-CN" w:bidi="ar"/>
        </w:rPr>
        <w:t>事中事后监管细则</w:t>
      </w:r>
    </w:p>
    <w:p w14:paraId="578AA866">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default" w:ascii="Times New Roman" w:hAnsi="Times New Roman" w:eastAsia="黑体" w:cs="Times New Roman"/>
          <w:b w:val="0"/>
          <w:bCs/>
          <w:color w:val="auto"/>
          <w:sz w:val="32"/>
          <w:szCs w:val="32"/>
          <w:highlight w:val="none"/>
          <w:lang w:eastAsia="zh-CN" w:bidi="ar"/>
        </w:rPr>
      </w:pPr>
      <w:r>
        <w:rPr>
          <w:rFonts w:hint="default" w:ascii="Times New Roman" w:hAnsi="Times New Roman" w:eastAsia="黑体" w:cs="Times New Roman"/>
          <w:b w:val="0"/>
          <w:bCs/>
          <w:color w:val="auto"/>
          <w:sz w:val="32"/>
          <w:szCs w:val="32"/>
          <w:highlight w:val="none"/>
          <w:lang w:eastAsia="zh-CN" w:bidi="ar"/>
        </w:rPr>
        <w:t>（行政许可）</w:t>
      </w:r>
    </w:p>
    <w:p w14:paraId="5094F9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为深入推进简政放权、依法行政、优化服务，加强行政权力运行监管工作，规范行政行为，根据</w:t>
      </w:r>
      <w:r>
        <w:rPr>
          <w:rFonts w:hint="eastAsia" w:cs="Times New Roman"/>
          <w:b w:val="0"/>
          <w:bCs w:val="0"/>
          <w:color w:val="auto"/>
          <w:sz w:val="32"/>
          <w:szCs w:val="32"/>
          <w:highlight w:val="none"/>
          <w:lang w:val="en-US" w:eastAsia="zh-CN"/>
        </w:rPr>
        <w:t>《中华人民共和国农村土地承包法》</w:t>
      </w:r>
      <w:r>
        <w:rPr>
          <w:rFonts w:hint="default" w:ascii="Times New Roman" w:hAnsi="Times New Roman" w:eastAsia="仿宋_GB2312" w:cs="Times New Roman"/>
          <w:b w:val="0"/>
          <w:bCs w:val="0"/>
          <w:color w:val="auto"/>
          <w:sz w:val="32"/>
          <w:szCs w:val="32"/>
          <w:highlight w:val="none"/>
          <w:lang w:val="en-US" w:eastAsia="zh-CN"/>
        </w:rPr>
        <w:t>和《安徽省政府权力运行监督管理办法》等相关法律法规，结合工作实际，制定本监管细则。</w:t>
      </w:r>
    </w:p>
    <w:p w14:paraId="271F47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本细则对应</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屯溪区镇</w:t>
      </w:r>
      <w:r>
        <w:rPr>
          <w:rFonts w:hint="default" w:ascii="Times New Roman" w:hAnsi="Times New Roman" w:cs="Times New Roman"/>
          <w:color w:val="auto"/>
          <w:sz w:val="32"/>
          <w:szCs w:val="32"/>
          <w:highlight w:val="none"/>
          <w:lang w:val="en-US" w:eastAsia="zh-CN"/>
        </w:rPr>
        <w:t>（街道）</w:t>
      </w:r>
      <w:r>
        <w:rPr>
          <w:rFonts w:hint="default" w:ascii="Times New Roman" w:hAnsi="Times New Roman" w:cs="Times New Roman"/>
          <w:color w:val="auto"/>
          <w:sz w:val="32"/>
          <w:szCs w:val="32"/>
          <w:highlight w:val="none"/>
          <w:lang w:val="zh-CN"/>
        </w:rPr>
        <w:t>审批事项</w:t>
      </w:r>
      <w:r>
        <w:rPr>
          <w:rFonts w:hint="default" w:ascii="Times New Roman" w:hAnsi="Times New Roman" w:eastAsia="仿宋_GB2312" w:cs="Times New Roman"/>
          <w:color w:val="auto"/>
          <w:sz w:val="32"/>
          <w:szCs w:val="32"/>
          <w:highlight w:val="none"/>
          <w:lang w:val="zh-CN"/>
        </w:rPr>
        <w:t>清单</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rPr>
        <w:t>第</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zh-CN"/>
        </w:rPr>
        <w:t>项，项目名称：工商企业等社会资本通过流转取得土地经营权审批。</w:t>
      </w:r>
    </w:p>
    <w:p w14:paraId="5C2B3C1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
        </w:rPr>
      </w:pPr>
      <w:r>
        <w:rPr>
          <w:rFonts w:hint="default" w:ascii="Times New Roman" w:hAnsi="Times New Roman" w:eastAsia="楷体_GB2312" w:cs="Times New Roman"/>
          <w:b/>
          <w:bCs/>
          <w:color w:val="auto"/>
          <w:kern w:val="0"/>
          <w:sz w:val="32"/>
          <w:szCs w:val="32"/>
          <w:highlight w:val="none"/>
          <w:u w:val="none"/>
          <w:lang w:val="en-US" w:eastAsia="zh-CN" w:bidi="ar"/>
        </w:rPr>
        <w:t>一、职权依据</w:t>
      </w:r>
    </w:p>
    <w:p w14:paraId="5CC8DD0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【法律】《中华人民共和国农村土地承包法》（2018年修正）第四十五条</w:t>
      </w:r>
    </w:p>
    <w:p w14:paraId="61568EAA">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【部门规章】《农村土地经营权流转管理办法》（2021年农业农村部令第1号）第二十九条</w:t>
      </w:r>
    </w:p>
    <w:p w14:paraId="3F94D52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
        </w:rPr>
      </w:pPr>
      <w:r>
        <w:rPr>
          <w:rFonts w:hint="default" w:ascii="Times New Roman" w:hAnsi="Times New Roman" w:eastAsia="楷体_GB2312" w:cs="Times New Roman"/>
          <w:b/>
          <w:bCs/>
          <w:color w:val="auto"/>
          <w:kern w:val="0"/>
          <w:sz w:val="32"/>
          <w:szCs w:val="32"/>
          <w:highlight w:val="none"/>
          <w:u w:val="none"/>
          <w:lang w:val="en-US" w:eastAsia="zh-CN" w:bidi="ar"/>
        </w:rPr>
        <w:t>二、责任事项</w:t>
      </w:r>
    </w:p>
    <w:p w14:paraId="1FA096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商企业等社会资本通过流转取得土地经营权的，本集体经济组织可以收取适量管理费用。具体办法由国务院农业农村、林业和草原主管部门规定。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1D98957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
        </w:rPr>
      </w:pPr>
      <w:r>
        <w:rPr>
          <w:rFonts w:hint="default" w:ascii="Times New Roman" w:hAnsi="Times New Roman" w:eastAsia="楷体_GB2312" w:cs="Times New Roman"/>
          <w:b/>
          <w:bCs/>
          <w:color w:val="auto"/>
          <w:kern w:val="0"/>
          <w:sz w:val="32"/>
          <w:szCs w:val="32"/>
          <w:highlight w:val="none"/>
          <w:u w:val="none"/>
          <w:lang w:val="en-US" w:eastAsia="zh-CN" w:bidi="ar"/>
        </w:rPr>
        <w:t>三、责任事项依据</w:t>
      </w:r>
    </w:p>
    <w:p w14:paraId="136324A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【法律】《中华人民共和国农村土地承包法》（2018年修正）第四十五条</w:t>
      </w:r>
    </w:p>
    <w:p w14:paraId="2EAD957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【部门规章】《农村土地经营权流转管理办法》（2021年农业农村部令第1号）第二十九条</w:t>
      </w:r>
    </w:p>
    <w:p w14:paraId="14D55F49">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b w:val="0"/>
          <w:bCs/>
          <w:color w:val="auto"/>
          <w:sz w:val="32"/>
          <w:szCs w:val="32"/>
          <w:highlight w:val="none"/>
          <w:lang w:eastAsia="zh-CN" w:bidi="ar"/>
        </w:rPr>
      </w:pPr>
      <w:r>
        <w:rPr>
          <w:rFonts w:hint="default" w:ascii="Times New Roman" w:hAnsi="Times New Roman" w:eastAsia="黑体" w:cs="Times New Roman"/>
          <w:b w:val="0"/>
          <w:bCs/>
          <w:color w:val="auto"/>
          <w:sz w:val="32"/>
          <w:szCs w:val="32"/>
          <w:highlight w:val="none"/>
          <w:lang w:eastAsia="zh-CN" w:bidi="ar"/>
        </w:rPr>
        <w:br w:type="page"/>
      </w:r>
    </w:p>
    <w:p w14:paraId="16BE8847">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b w:val="0"/>
          <w:bCs/>
          <w:color w:val="auto"/>
          <w:sz w:val="32"/>
          <w:szCs w:val="32"/>
          <w:highlight w:val="none"/>
          <w:lang w:eastAsia="zh-CN" w:bidi="ar"/>
        </w:rPr>
      </w:pPr>
      <w:r>
        <w:rPr>
          <w:rFonts w:hint="default" w:ascii="Times New Roman" w:hAnsi="Times New Roman" w:eastAsia="黑体" w:cs="Times New Roman"/>
          <w:b w:val="0"/>
          <w:bCs/>
          <w:color w:val="auto"/>
          <w:sz w:val="32"/>
          <w:szCs w:val="32"/>
          <w:highlight w:val="none"/>
          <w:lang w:eastAsia="zh-CN" w:bidi="ar"/>
        </w:rPr>
        <w:t>六、农村村民宅基地审批事中事后监管细则</w:t>
      </w:r>
    </w:p>
    <w:p w14:paraId="38CBA244">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b w:val="0"/>
          <w:bCs/>
          <w:color w:val="auto"/>
          <w:sz w:val="32"/>
          <w:szCs w:val="32"/>
          <w:highlight w:val="none"/>
          <w:lang w:val="zh-CN" w:eastAsia="zh-CN" w:bidi="ar"/>
        </w:rPr>
      </w:pPr>
      <w:r>
        <w:rPr>
          <w:rFonts w:hint="default" w:ascii="Times New Roman" w:hAnsi="Times New Roman" w:eastAsia="黑体" w:cs="Times New Roman"/>
          <w:b w:val="0"/>
          <w:bCs/>
          <w:color w:val="auto"/>
          <w:sz w:val="32"/>
          <w:szCs w:val="32"/>
          <w:highlight w:val="none"/>
          <w:lang w:val="zh-CN" w:eastAsia="zh-CN" w:bidi="ar"/>
        </w:rPr>
        <w:t>（行政许可）</w:t>
      </w:r>
    </w:p>
    <w:p w14:paraId="54981EB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为深入推进简政放权、放管结合、优化服务，加强事中事后监管工作，规范行政行为，根据相关法律法规和《安徽省政府权力运行监督管理办法》，结合</w:t>
      </w:r>
      <w:r>
        <w:rPr>
          <w:rFonts w:hint="default" w:ascii="Times New Roman" w:hAnsi="Times New Roman" w:eastAsia="仿宋_GB2312" w:cs="Times New Roman"/>
          <w:color w:val="auto"/>
          <w:sz w:val="32"/>
          <w:szCs w:val="32"/>
          <w:highlight w:val="none"/>
          <w:lang w:val="en-US" w:eastAsia="zh-CN"/>
        </w:rPr>
        <w:t>宅基地许可工作实际</w:t>
      </w:r>
      <w:r>
        <w:rPr>
          <w:rFonts w:hint="default" w:ascii="Times New Roman" w:hAnsi="Times New Roman" w:eastAsia="仿宋_GB2312" w:cs="Times New Roman"/>
          <w:color w:val="auto"/>
          <w:sz w:val="32"/>
          <w:szCs w:val="32"/>
          <w:highlight w:val="none"/>
          <w:lang w:val="zh-CN"/>
        </w:rPr>
        <w:t>制定本监管细则。</w:t>
      </w:r>
    </w:p>
    <w:p w14:paraId="0EFD67C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本细则对应</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屯溪区镇</w:t>
      </w:r>
      <w:r>
        <w:rPr>
          <w:rFonts w:hint="default" w:ascii="Times New Roman" w:hAnsi="Times New Roman" w:cs="Times New Roman"/>
          <w:color w:val="auto"/>
          <w:sz w:val="32"/>
          <w:szCs w:val="32"/>
          <w:highlight w:val="none"/>
          <w:lang w:val="en-US" w:eastAsia="zh-CN"/>
        </w:rPr>
        <w:t>（街道）</w:t>
      </w:r>
      <w:r>
        <w:rPr>
          <w:rFonts w:hint="default" w:ascii="Times New Roman" w:hAnsi="Times New Roman" w:cs="Times New Roman"/>
          <w:color w:val="auto"/>
          <w:sz w:val="32"/>
          <w:szCs w:val="32"/>
          <w:highlight w:val="none"/>
          <w:lang w:val="zh-CN"/>
        </w:rPr>
        <w:t>审批事项</w:t>
      </w:r>
      <w:r>
        <w:rPr>
          <w:rFonts w:hint="default" w:ascii="Times New Roman" w:hAnsi="Times New Roman" w:eastAsia="仿宋_GB2312" w:cs="Times New Roman"/>
          <w:color w:val="auto"/>
          <w:sz w:val="32"/>
          <w:szCs w:val="32"/>
          <w:highlight w:val="none"/>
          <w:lang w:val="zh-CN"/>
        </w:rPr>
        <w:t>清单</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rPr>
        <w:t>第</w:t>
      </w:r>
      <w:r>
        <w:rPr>
          <w:rFonts w:hint="default"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zh-CN"/>
        </w:rPr>
        <w:t>项，项目名称：</w:t>
      </w:r>
      <w:r>
        <w:rPr>
          <w:rFonts w:hint="default" w:ascii="Times New Roman" w:hAnsi="Times New Roman" w:cs="Times New Roman"/>
          <w:color w:val="auto"/>
          <w:sz w:val="32"/>
          <w:szCs w:val="32"/>
          <w:highlight w:val="none"/>
          <w:lang w:val="zh-CN"/>
        </w:rPr>
        <w:t>农村村民宅基地审批</w:t>
      </w:r>
      <w:r>
        <w:rPr>
          <w:rFonts w:hint="default" w:ascii="Times New Roman" w:hAnsi="Times New Roman" w:eastAsia="仿宋_GB2312" w:cs="Times New Roman"/>
          <w:color w:val="auto"/>
          <w:sz w:val="32"/>
          <w:szCs w:val="32"/>
          <w:highlight w:val="none"/>
          <w:lang w:val="zh-CN"/>
        </w:rPr>
        <w:t>。</w:t>
      </w:r>
    </w:p>
    <w:p w14:paraId="1B7CE7E4">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lang w:val="zh-CN"/>
        </w:rPr>
      </w:pPr>
      <w:r>
        <w:rPr>
          <w:rFonts w:hint="default" w:ascii="Times New Roman" w:hAnsi="Times New Roman" w:eastAsia="楷体_GB2312" w:cs="Times New Roman"/>
          <w:b/>
          <w:bCs/>
          <w:color w:val="auto"/>
          <w:sz w:val="32"/>
          <w:szCs w:val="32"/>
          <w:highlight w:val="none"/>
        </w:rPr>
        <w:t>一、监管任务</w:t>
      </w:r>
    </w:p>
    <w:p w14:paraId="08671DA3">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（一）</w:t>
      </w:r>
      <w:r>
        <w:rPr>
          <w:rFonts w:hint="default" w:ascii="Times New Roman" w:hAnsi="Times New Roman" w:eastAsia="仿宋_GB2312" w:cs="Times New Roman"/>
          <w:color w:val="auto"/>
          <w:sz w:val="32"/>
          <w:szCs w:val="32"/>
          <w:highlight w:val="none"/>
          <w:lang w:val="zh-CN"/>
        </w:rPr>
        <w:t>坚持“法无授权不可为、法定职权必须为”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14:paraId="527A945E">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zh-CN"/>
        </w:rPr>
        <w:t>（二）</w:t>
      </w:r>
      <w:r>
        <w:rPr>
          <w:rFonts w:hint="default" w:ascii="Times New Roman" w:hAnsi="Times New Roman" w:eastAsia="仿宋_GB2312" w:cs="Times New Roman"/>
          <w:color w:val="auto"/>
          <w:sz w:val="32"/>
          <w:szCs w:val="32"/>
          <w:highlight w:val="none"/>
          <w:lang w:val="zh-CN"/>
        </w:rPr>
        <w:t>坚持“全程监管、全程服务”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349C93C7">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二、事中监管</w:t>
      </w:r>
    </w:p>
    <w:p w14:paraId="26418B81">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（一）监管任务</w:t>
      </w:r>
    </w:p>
    <w:p w14:paraId="48643E6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1、审查申报资料是否齐全。主要包括：</w:t>
      </w:r>
    </w:p>
    <w:p w14:paraId="3A5570E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rPr>
        <w:t>①身份证明</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户口簿</w:t>
      </w:r>
    </w:p>
    <w:p w14:paraId="6C4EDBA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②《农村宅基地和建房（规划许可）申请表》</w:t>
      </w:r>
    </w:p>
    <w:p w14:paraId="57E91CE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③《农村宅基地使用承诺书》</w:t>
      </w:r>
    </w:p>
    <w:p w14:paraId="608F5A9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2、</w:t>
      </w:r>
      <w:r>
        <w:rPr>
          <w:rFonts w:hint="default" w:ascii="Times New Roman" w:hAnsi="Times New Roman" w:eastAsia="仿宋_GB2312" w:cs="Times New Roman"/>
          <w:color w:val="auto"/>
          <w:sz w:val="32"/>
          <w:szCs w:val="32"/>
          <w:highlight w:val="none"/>
          <w:lang w:val="en-US" w:eastAsia="zh-CN"/>
        </w:rPr>
        <w:t>申请程序</w:t>
      </w:r>
      <w:r>
        <w:rPr>
          <w:rFonts w:hint="default" w:ascii="Times New Roman" w:hAnsi="Times New Roman" w:eastAsia="仿宋_GB2312" w:cs="Times New Roman"/>
          <w:color w:val="auto"/>
          <w:sz w:val="32"/>
          <w:szCs w:val="32"/>
          <w:highlight w:val="none"/>
          <w:lang w:val="zh-CN"/>
        </w:rPr>
        <w:t>。</w:t>
      </w:r>
    </w:p>
    <w:p w14:paraId="089A4AA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①）申请。农村村民需要宅基地建房的，应当填写《农村宅基地和建房（规划许可）申请表》，签署《农村宅基地使用承诺书》，提交相关申请要件，以户为单位向所在村（居）民委员会提出宅基地和建房（规划许可）书面申请。</w:t>
      </w:r>
    </w:p>
    <w:p w14:paraId="45AC9D6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②初审。村（居）民委员会收到申请后，应当在5个工作日内完成初审。重点审查提交的材料及信息是否真实有效、拟用地建房是否符合村庄规划（没有编制村庄规划的，审查是否符合乡镇国土空间规划中明确的村国土空间用途管制规则和建设管控要求）、是否征求了拟用地建房相邻权利人意见等。经审查符合条件的，应当在10个工作日内提交村（居）民代表会议讨论。</w:t>
      </w:r>
    </w:p>
    <w:p w14:paraId="01F69EE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③公示。经村（居）民代表会议讨论通过后，村（居）民委员会应当将申请理由、宅基地分配方案（拟用地位置和面积）和建房（规划许可）方案（拟建房层高和面积）等情况，在村（居）公开栏和申请人所在集体经济组织范围内公示。公示时间不得少于5个工作日。公示有异议的，由村（居）民委员会进行调查，经调查异议成立的，撤销或修改宅基地分配方案和建房（规划许可）方案再予以公示；异议不成立的，按程序上报审查。</w:t>
      </w:r>
    </w:p>
    <w:p w14:paraId="75A4F37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i w:val="0"/>
          <w:iCs w:val="0"/>
          <w:caps w:val="0"/>
          <w:color w:val="auto"/>
          <w:spacing w:val="8"/>
          <w:sz w:val="32"/>
          <w:szCs w:val="32"/>
          <w:highlight w:val="none"/>
        </w:rPr>
      </w:pPr>
      <w:r>
        <w:rPr>
          <w:rFonts w:hint="default" w:ascii="Times New Roman" w:hAnsi="Times New Roman" w:eastAsia="仿宋_GB2312" w:cs="Times New Roman"/>
          <w:color w:val="auto"/>
          <w:sz w:val="32"/>
          <w:szCs w:val="32"/>
          <w:highlight w:val="none"/>
          <w:lang w:val="zh-CN"/>
        </w:rPr>
        <w:t>④报送。公示无异议或异议不成立的，由村（居）民委员会和村集体经济组织在《农村宅基地和建房（规划许可）申请表》上签署意见，连同申请人提交的其他相关材料一并报送乡镇人民政府审批。</w:t>
      </w:r>
    </w:p>
    <w:p w14:paraId="533E4852">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color w:val="auto"/>
          <w:sz w:val="32"/>
          <w:szCs w:val="32"/>
          <w:highlight w:val="none"/>
          <w:lang w:val="zh-CN"/>
        </w:rPr>
      </w:pPr>
    </w:p>
    <w:p w14:paraId="1DABF18B">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（二）监督检查程序</w:t>
      </w:r>
    </w:p>
    <w:p w14:paraId="58E3892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1、制定监督检查方案。现场监督检查方案应包括现场监督检查的时间、人员及分工、监督检查的标准和内容等。</w:t>
      </w:r>
    </w:p>
    <w:p w14:paraId="165D3DF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2、实施监督检查。监督检查人员应不少于2人，监督检查前应出示执法证件，监督检查采取现场勘验、询问申请人（或申请单位主要负责人或委托授权人）、询问利害关系人等方式。</w:t>
      </w:r>
    </w:p>
    <w:p w14:paraId="77CFADE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3、监督检查结果。对监督检查中发现的主要问题，监督检查人员提出整改建议及整改期限，以事中监管反馈意见单的形式告知申请人，检查人员和申请人（或申请单位主要负责人或委托授权人）签字等。</w:t>
      </w:r>
    </w:p>
    <w:p w14:paraId="5972039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4、发现违法行为后依法处置。对有证据证明</w:t>
      </w:r>
      <w:r>
        <w:rPr>
          <w:rFonts w:hint="default" w:ascii="Times New Roman" w:hAnsi="Times New Roman" w:eastAsia="仿宋_GB2312" w:cs="Times New Roman"/>
          <w:color w:val="auto"/>
          <w:sz w:val="32"/>
          <w:szCs w:val="32"/>
          <w:highlight w:val="none"/>
          <w:lang w:val="en-US" w:eastAsia="zh-CN"/>
        </w:rPr>
        <w:t>不符合申请条件</w:t>
      </w:r>
      <w:r>
        <w:rPr>
          <w:rFonts w:hint="default" w:ascii="Times New Roman" w:hAnsi="Times New Roman" w:eastAsia="仿宋_GB2312" w:cs="Times New Roman"/>
          <w:color w:val="auto"/>
          <w:sz w:val="32"/>
          <w:szCs w:val="32"/>
          <w:highlight w:val="none"/>
        </w:rPr>
        <w:t>的应依法下达不予受理通知书或不予行政许可决定书，符合立案条件的进行立案，依法进行行政处罚。</w:t>
      </w:r>
    </w:p>
    <w:p w14:paraId="3E1E426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5、按照法定程序和要求公布监管信息。</w:t>
      </w:r>
    </w:p>
    <w:p w14:paraId="57A0105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（三）现场检查。</w:t>
      </w:r>
    </w:p>
    <w:p w14:paraId="47B4422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主要包括：</w:t>
      </w:r>
    </w:p>
    <w:p w14:paraId="7809997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1、审查申请人是否符合申请条件</w:t>
      </w:r>
    </w:p>
    <w:p w14:paraId="2F3E233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拟用地是否符合宅基地合理布局要求和面积标准</w:t>
      </w:r>
    </w:p>
    <w:p w14:paraId="7207E26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宅基地和建房（规划许可）申请是否经过村组审核公示</w:t>
      </w:r>
    </w:p>
    <w:p w14:paraId="050919F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用地建房是否符合国土空间规划、用途管制要求</w:t>
      </w:r>
    </w:p>
    <w:p w14:paraId="48841D0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是否取得用地计划</w:t>
      </w:r>
    </w:p>
    <w:p w14:paraId="1AFA2A7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涉及占用农用地的，是否办理了农用地转用审批手续</w:t>
      </w:r>
    </w:p>
    <w:p w14:paraId="4074EE2F">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三、事后监管</w:t>
      </w:r>
    </w:p>
    <w:p w14:paraId="16656C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（一）</w:t>
      </w:r>
      <w:r>
        <w:rPr>
          <w:rFonts w:hint="default" w:ascii="Times New Roman" w:hAnsi="Times New Roman" w:eastAsia="仿宋_GB2312" w:cs="Times New Roman"/>
          <w:color w:val="auto"/>
          <w:kern w:val="2"/>
          <w:sz w:val="32"/>
          <w:szCs w:val="32"/>
          <w:highlight w:val="none"/>
          <w:lang w:val="en-US" w:eastAsia="zh-CN" w:bidi="ar-SA"/>
        </w:rPr>
        <w:t>经批准用地建房的农户，应当严格按照《农村宅基地使用承诺书》完成建房。应拆旧的，要按照承诺的时间拆除旧房，并无偿退出原有宅基地交由村集体安排使用。</w:t>
      </w:r>
    </w:p>
    <w:p w14:paraId="7D8A2D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（二）</w:t>
      </w:r>
      <w:r>
        <w:rPr>
          <w:rFonts w:hint="default" w:ascii="Times New Roman" w:hAnsi="Times New Roman" w:eastAsia="仿宋_GB2312" w:cs="Times New Roman"/>
          <w:color w:val="auto"/>
          <w:kern w:val="2"/>
          <w:sz w:val="32"/>
          <w:szCs w:val="32"/>
          <w:highlight w:val="none"/>
          <w:lang w:val="en-US" w:eastAsia="zh-CN" w:bidi="ar-SA"/>
        </w:rPr>
        <w:t>乡镇人民政府和村（居）民委员会要加强宅基地用地建房的全过程监督。</w:t>
      </w:r>
    </w:p>
    <w:p w14:paraId="139DA4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农户经批准用地建房后，乡镇人民政府要组织工作人员及时到现场进行开工查验，实地丈量批放宅基地，确定建房位置，做好现场工作记录，指导农户按照批准面积和要求使用土地。</w:t>
      </w:r>
    </w:p>
    <w:p w14:paraId="3BA347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农户建房过程中，乡镇人民政府要组织工作人员联合村级组织进行过程监督检查，重点检查是否按照批准面积、四至等要求使用宅基地，是否按照批准面积和规划要求建设住房，发现问题及时制止，责成整改。</w:t>
      </w:r>
    </w:p>
    <w:p w14:paraId="19FDA3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农户建房结束后，乡镇人民政府要组织工作人员对照审批内容进行实地验收。经验收合格的，出具《农村宅基地和建房（规划许可）验收意见表》。</w:t>
      </w:r>
    </w:p>
    <w:p w14:paraId="47B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（三）</w:t>
      </w:r>
      <w:r>
        <w:rPr>
          <w:rFonts w:hint="default" w:ascii="Times New Roman" w:hAnsi="Times New Roman" w:eastAsia="仿宋_GB2312" w:cs="Times New Roman"/>
          <w:color w:val="auto"/>
          <w:kern w:val="2"/>
          <w:sz w:val="32"/>
          <w:szCs w:val="32"/>
          <w:highlight w:val="none"/>
          <w:lang w:val="en-US" w:eastAsia="zh-CN" w:bidi="ar-SA"/>
        </w:rPr>
        <w:t>通过验收的农户，应当及时向不动产登记机构申请办理农村房地一体不动产登记。</w:t>
      </w:r>
    </w:p>
    <w:p w14:paraId="30ADFDC8">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四、责任追溯</w:t>
      </w:r>
    </w:p>
    <w:p w14:paraId="1710B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（一）</w:t>
      </w:r>
      <w:r>
        <w:rPr>
          <w:rFonts w:hint="default" w:ascii="Times New Roman" w:hAnsi="Times New Roman" w:eastAsia="仿宋_GB2312" w:cs="Times New Roman"/>
          <w:color w:val="auto"/>
          <w:kern w:val="2"/>
          <w:sz w:val="32"/>
          <w:szCs w:val="32"/>
          <w:highlight w:val="none"/>
          <w:lang w:val="en-US" w:eastAsia="zh-CN" w:bidi="ar-SA"/>
        </w:rPr>
        <w:t>农村村民未经批准或者采取欺骗手段骗取批准，非法占用土地建设住宅的，依据《中华人民共和国土地管理法》等有关规定，责令退还非法占用的土地，限期拆除在非法占用的土地上新建的房屋。构成犯罪的，依法追究刑事责任。</w:t>
      </w:r>
    </w:p>
    <w:p w14:paraId="04E79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（二）</w:t>
      </w:r>
      <w:r>
        <w:rPr>
          <w:rFonts w:hint="default" w:ascii="Times New Roman" w:hAnsi="Times New Roman" w:eastAsia="仿宋_GB2312" w:cs="Times New Roman"/>
          <w:color w:val="auto"/>
          <w:kern w:val="2"/>
          <w:sz w:val="32"/>
          <w:szCs w:val="32"/>
          <w:highlight w:val="none"/>
          <w:lang w:val="en-US" w:eastAsia="zh-CN" w:bidi="ar-SA"/>
        </w:rPr>
        <w:t>违反本规定，乡镇人民政府及有关部门超越批准权限非法批准占用宅基地的，或者违反法定程序批准占用宅基地的，依法应当给予行政处分的，依法予以处理；构成犯罪的，依法追究刑事责任。</w:t>
      </w:r>
    </w:p>
    <w:p w14:paraId="43C99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（三）</w:t>
      </w:r>
      <w:r>
        <w:rPr>
          <w:rFonts w:hint="default" w:ascii="Times New Roman" w:hAnsi="Times New Roman" w:eastAsia="仿宋_GB2312" w:cs="Times New Roman"/>
          <w:color w:val="auto"/>
          <w:kern w:val="2"/>
          <w:sz w:val="32"/>
          <w:szCs w:val="32"/>
          <w:highlight w:val="none"/>
          <w:lang w:val="en-US" w:eastAsia="zh-CN" w:bidi="ar-SA"/>
        </w:rPr>
        <w:t>区政府建立各乡镇农民违法建房情况通报制度，不定期通报履职不力的乡镇和部门。对监管不力、履职不到位的乡镇、部门及相关责任人，依法依规严肃问责。</w:t>
      </w:r>
    </w:p>
    <w:p w14:paraId="6DA70F9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五、保障措施</w:t>
      </w:r>
    </w:p>
    <w:p w14:paraId="4A2B9B29">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）理清权责边界。</w:t>
      </w:r>
      <w:r>
        <w:rPr>
          <w:rFonts w:hint="default" w:ascii="Times New Roman" w:hAnsi="Times New Roman" w:eastAsia="仿宋_GB2312" w:cs="Times New Roman"/>
          <w:color w:val="auto"/>
          <w:kern w:val="2"/>
          <w:sz w:val="32"/>
          <w:szCs w:val="32"/>
          <w:highlight w:val="none"/>
          <w:lang w:val="en-US" w:eastAsia="zh-CN" w:bidi="ar-SA"/>
        </w:rPr>
        <w:t>针对权力交叉、监管空白等问题，科学划分宅基地管理机构的职能，明确权力范围和责任范围，建立上下联动监管机制。</w:t>
      </w:r>
    </w:p>
    <w:p w14:paraId="4A6FF085">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）加强人员培训。</w:t>
      </w:r>
      <w:r>
        <w:rPr>
          <w:rFonts w:hint="default" w:ascii="Times New Roman" w:hAnsi="Times New Roman" w:eastAsia="仿宋_GB2312" w:cs="Times New Roman"/>
          <w:color w:val="auto"/>
          <w:kern w:val="2"/>
          <w:sz w:val="32"/>
          <w:szCs w:val="32"/>
          <w:highlight w:val="none"/>
          <w:lang w:val="en-US" w:eastAsia="zh-CN" w:bidi="ar-SA"/>
        </w:rPr>
        <w:t>屯溪区农业农村水利局应当加强对宅基地管理执法人员专业知识与执法能力培训，并适时组织考核。不具备相应知识和能力的，不得从事宅基地管理工作。</w:t>
      </w:r>
    </w:p>
    <w:p w14:paraId="0432FDBC">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）加强普法宣传。</w:t>
      </w:r>
      <w:r>
        <w:rPr>
          <w:rFonts w:hint="default" w:ascii="Times New Roman" w:hAnsi="Times New Roman" w:eastAsia="仿宋_GB2312" w:cs="Times New Roman"/>
          <w:color w:val="auto"/>
          <w:kern w:val="2"/>
          <w:sz w:val="32"/>
          <w:szCs w:val="32"/>
          <w:highlight w:val="none"/>
          <w:lang w:val="en-US" w:eastAsia="zh-CN" w:bidi="ar-SA"/>
        </w:rPr>
        <w:t>运用多种方式宣传宅基地审批管理的法律法规，提升管理相对人和公众的法律意识。</w:t>
      </w:r>
    </w:p>
    <w:p w14:paraId="4C7E78AA">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六、主要依据</w:t>
      </w:r>
    </w:p>
    <w:p w14:paraId="2D100BB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1.《中华人民共和国土地管理法》；</w:t>
      </w:r>
    </w:p>
    <w:p w14:paraId="745D4AE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2.《安徽省城乡规划条例》；</w:t>
      </w:r>
    </w:p>
    <w:p w14:paraId="28E264E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3.《安徽省农业农村厅安徽省自然资源厅关于进一步加强农村宅基地审批管理的实施意见》。</w:t>
      </w:r>
    </w:p>
    <w:p w14:paraId="7A30CE07">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14:paraId="1CB9BD90">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七、设置大型户外广告及在城市建筑物、设施上悬挂、</w:t>
      </w:r>
    </w:p>
    <w:p w14:paraId="568C53EA">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张贴宣传品审批</w:t>
      </w:r>
    </w:p>
    <w:p w14:paraId="1A9FD696">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（行政许可）</w:t>
      </w:r>
    </w:p>
    <w:p w14:paraId="247C51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643" w:firstLineChars="20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一、监管任务</w:t>
      </w:r>
    </w:p>
    <w:p w14:paraId="6071E9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依照法律、行政法规等规定，通过对大型户外广告设置、张贴和非永久性建（构）筑物搭建审批事中事后监管措施，加强城市市容和环境卫生管理，创造清洁、优美的城市环境，促进城市文明建设。</w:t>
      </w:r>
    </w:p>
    <w:p w14:paraId="75B638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643" w:firstLineChars="200"/>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二、事中监管</w:t>
      </w:r>
    </w:p>
    <w:p w14:paraId="29365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（一）材料审查</w:t>
      </w:r>
    </w:p>
    <w:p w14:paraId="5979EA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1.在办公场所公开依法应当提交的材料,符合条件的，依法受理；不符合受理条件的，告知理由；需要补正材料的，一次性告知。</w:t>
      </w:r>
    </w:p>
    <w:p w14:paraId="527BB8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2.材料审核需要审查部门派2名以上工作人员进行现场核查，然后根据核查情况，提出初审意见。</w:t>
      </w:r>
    </w:p>
    <w:p w14:paraId="39B43C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3.作出准予许可决定，不予行政许可的应当告知申请人理由和行政复议或诉讼的权利；按时办结。</w:t>
      </w:r>
    </w:p>
    <w:p w14:paraId="5D3B83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4.送达行政许可（或不予许可）决定文书；信息公开。</w:t>
      </w:r>
    </w:p>
    <w:p w14:paraId="4D1284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left"/>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（二）现场检查</w:t>
      </w:r>
    </w:p>
    <w:p w14:paraId="01EAEE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1280" w:firstLineChars="40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1.核查是否依法取得了《准予行政许可决定书》；</w:t>
      </w:r>
    </w:p>
    <w:p w14:paraId="61293D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1280" w:firstLineChars="400"/>
        <w:jc w:val="both"/>
        <w:textAlignment w:val="auto"/>
        <w:rPr>
          <w:rFonts w:hint="default" w:ascii="Times New Roman" w:hAnsi="Times New Roman" w:cs="Times New Roman"/>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2.对该行政许可的基本要件进行核查。</w:t>
      </w:r>
    </w:p>
    <w:p w14:paraId="79DEE1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left"/>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（三）建立监管档案</w:t>
      </w:r>
    </w:p>
    <w:p w14:paraId="3CEE4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应建立本行政区域内行政审批事项监管档案。监管档案主要内容包括：1.行政许可申请书；2、行政许可事项申请材料一次性告知书；3、行政许可受理审批表；4、现场勘验检查笔录；5、行政许可决定审批表；6、准予行政许可（或不予行政许可）决定书；7、事后现场复核报告；8、承办人员执法证件复印件；9、其他监督档案的资料。</w:t>
      </w:r>
    </w:p>
    <w:p w14:paraId="52E9C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left"/>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三、事后监管</w:t>
      </w:r>
    </w:p>
    <w:p w14:paraId="16AE63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（一）任何单位和个人发现经营单位或个人未取得大型户外广告设置、张贴和非永久性建（构）筑物搭建审批的，有权向屯溪区城市管理局举报，屯溪区城市管理局应当及时核查、处理。</w:t>
      </w:r>
    </w:p>
    <w:p w14:paraId="377695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（二）对核查中发现的违法问题，符合立案条件的，及时立案查处。</w:t>
      </w:r>
    </w:p>
    <w:p w14:paraId="5F823C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（三）对行政许可审批事项进行经常性的监督检查，严防大型户外广告设置、张贴和非永久性建（构）筑物搭建环节的违法违规行为。</w:t>
      </w:r>
    </w:p>
    <w:p w14:paraId="062031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（四）依法对未经行政许可审批事项的违法违规行为的举报进行受理查处，依法对行政机关及相关工作人员不履行或不正确履行行政职责行为的举报进行受理查处。</w:t>
      </w:r>
    </w:p>
    <w:p w14:paraId="78C28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行政相对人和利害关系人对屯溪区城市管理行政主管部门在该许可工作中作出的具体行政决定不服的，可以自收到决定之日起60日内向屯溪区人民政府或黄山市人民政府申请行政复议，也可以于6个月内依法向人民法院提起行政诉讼。行政复议或者行政诉讼期间，行政决定不停止执行。</w:t>
      </w:r>
    </w:p>
    <w:p w14:paraId="0BFDE8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四、责任追究</w:t>
      </w:r>
    </w:p>
    <w:p w14:paraId="2C64D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在大型户外广告设置、张贴和非永久性建（构）筑物搭建审批工作中，因不履行或不正确履行行政职责，有下列情形的，行政机关及相关工作人员应承担相应责任：</w:t>
      </w:r>
    </w:p>
    <w:p w14:paraId="1E6EF2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1.对符合法定条件的项目申请不予受理、核准的；</w:t>
      </w:r>
    </w:p>
    <w:p w14:paraId="001DAA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2.对不符合法定条件的项目予以受理、核准的；</w:t>
      </w:r>
    </w:p>
    <w:p w14:paraId="263F9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3.未在法定时限内按照法定程序作出核准决定的；</w:t>
      </w:r>
    </w:p>
    <w:p w14:paraId="26DA14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4.在受理、审查、审批过程中滥用职权、玩忽职守，造成较大损失的；</w:t>
      </w:r>
    </w:p>
    <w:p w14:paraId="365CCD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sz w:val="32"/>
          <w:szCs w:val="32"/>
          <w:highlight w:val="none"/>
          <w:shd w:val="clear" w:fill="FFFFFF"/>
        </w:rPr>
        <w:t>5.索取或者收受他人财物或者利用审批事项谋取其他利益的；</w:t>
      </w:r>
    </w:p>
    <w:p w14:paraId="44CD49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6.其他违反法律法规规定的行为。</w:t>
      </w:r>
    </w:p>
    <w:p w14:paraId="2CD4A3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五、保障措施</w:t>
      </w:r>
    </w:p>
    <w:p w14:paraId="6E88D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（一）实施“审批查”改革。</w:t>
      </w:r>
      <w:r>
        <w:rPr>
          <w:rFonts w:hint="eastAsia" w:ascii="仿宋_GB2312" w:hAnsi="仿宋_GB2312" w:eastAsia="仿宋_GB2312" w:cs="仿宋_GB2312"/>
          <w:i w:val="0"/>
          <w:iCs w:val="0"/>
          <w:caps w:val="0"/>
          <w:color w:val="auto"/>
          <w:spacing w:val="0"/>
          <w:sz w:val="32"/>
          <w:szCs w:val="32"/>
          <w:highlight w:val="none"/>
          <w:shd w:val="clear" w:fill="FFFFFF"/>
        </w:rPr>
        <w:t>要高度重视城市垃圾处置审批事中事后监管工作，按照“审、批、查”相互分离、相互衔接和简政放权、放管结合、转变职能的要求，强化组织领导，完善监管办法，落实保障措施，严肃查处问题，确保事中事后监管工作有序进行。</w:t>
      </w:r>
    </w:p>
    <w:p w14:paraId="53DC9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（二）厘清权责边界。</w:t>
      </w:r>
      <w:r>
        <w:rPr>
          <w:rFonts w:hint="eastAsia" w:ascii="仿宋_GB2312" w:hAnsi="仿宋_GB2312" w:eastAsia="仿宋_GB2312" w:cs="仿宋_GB2312"/>
          <w:i w:val="0"/>
          <w:iCs w:val="0"/>
          <w:caps w:val="0"/>
          <w:color w:val="auto"/>
          <w:spacing w:val="0"/>
          <w:sz w:val="32"/>
          <w:szCs w:val="32"/>
          <w:highlight w:val="none"/>
          <w:shd w:val="clear" w:fill="FFFFFF"/>
        </w:rPr>
        <w:t>针对权力交叉、监管空白等问题，科学划分职能，明确权力范围和责任范围，建立上下联动监管机制。</w:t>
      </w:r>
    </w:p>
    <w:p w14:paraId="0E196D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（三）加强人员培训。</w:t>
      </w:r>
      <w:r>
        <w:rPr>
          <w:rFonts w:hint="eastAsia" w:ascii="仿宋_GB2312" w:hAnsi="仿宋_GB2312" w:eastAsia="仿宋_GB2312" w:cs="仿宋_GB2312"/>
          <w:i w:val="0"/>
          <w:iCs w:val="0"/>
          <w:caps w:val="0"/>
          <w:color w:val="auto"/>
          <w:spacing w:val="0"/>
          <w:sz w:val="32"/>
          <w:szCs w:val="32"/>
          <w:highlight w:val="none"/>
          <w:shd w:val="clear" w:fill="FFFFFF"/>
        </w:rPr>
        <w:t>屯溪区城管局应当加强对城管工作人员城市管理法律、法规、标准和专业知识培训，并适时组织考核。不具备相应知识和能力的，不得从事城市管理工作。</w:t>
      </w:r>
    </w:p>
    <w:p w14:paraId="07BAA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六、主要依据</w:t>
      </w:r>
    </w:p>
    <w:p w14:paraId="724E51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1、《安徽省城市市容和环境卫生管理条例》第十四条第二款；</w:t>
      </w:r>
    </w:p>
    <w:p w14:paraId="41298F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2、《安徽省城市市容和环境卫生管理条例》第十七条；</w:t>
      </w:r>
    </w:p>
    <w:p w14:paraId="7EB74A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3、《安徽省城市市容和环境卫生管理条例》第十五条。</w:t>
      </w:r>
    </w:p>
    <w:p w14:paraId="25CFCDF6">
      <w:pPr>
        <w:keepNext w:val="0"/>
        <w:keepLines w:val="0"/>
        <w:pageBreakBefore w:val="0"/>
        <w:numPr>
          <w:ilvl w:val="0"/>
          <w:numId w:val="0"/>
        </w:numPr>
        <w:kinsoku/>
        <w:wordWrap/>
        <w:overflowPunct/>
        <w:topLinePunct w:val="0"/>
        <w:bidi w:val="0"/>
        <w:snapToGrid/>
        <w:spacing w:line="560" w:lineRule="exact"/>
        <w:ind w:left="630" w:leftChars="0"/>
        <w:jc w:val="center"/>
        <w:textAlignment w:val="auto"/>
        <w:rPr>
          <w:rFonts w:hint="eastAsia" w:ascii="黑体" w:hAnsi="黑体" w:eastAsia="黑体" w:cs="黑体"/>
          <w:color w:val="auto"/>
          <w:sz w:val="32"/>
          <w:szCs w:val="32"/>
          <w:highlight w:val="none"/>
          <w:lang w:val="en-US" w:eastAsia="zh-CN"/>
        </w:rPr>
      </w:pPr>
    </w:p>
    <w:p w14:paraId="25ACA78D">
      <w:pPr>
        <w:keepNext w:val="0"/>
        <w:keepLines w:val="0"/>
        <w:pageBreakBefore w:val="0"/>
        <w:numPr>
          <w:ilvl w:val="0"/>
          <w:numId w:val="0"/>
        </w:numPr>
        <w:kinsoku/>
        <w:wordWrap/>
        <w:overflowPunct/>
        <w:topLinePunct w:val="0"/>
        <w:bidi w:val="0"/>
        <w:snapToGrid/>
        <w:spacing w:line="560" w:lineRule="exact"/>
        <w:ind w:left="630" w:leftChars="0"/>
        <w:jc w:val="center"/>
        <w:textAlignment w:val="auto"/>
        <w:rPr>
          <w:rFonts w:hint="eastAsia" w:ascii="黑体" w:hAnsi="黑体" w:eastAsia="黑体" w:cs="黑体"/>
          <w:color w:val="auto"/>
          <w:sz w:val="32"/>
          <w:szCs w:val="32"/>
          <w:highlight w:val="none"/>
          <w:lang w:val="en-US" w:eastAsia="zh-CN"/>
        </w:rPr>
      </w:pPr>
    </w:p>
    <w:p w14:paraId="09D7D2AB">
      <w:pPr>
        <w:keepNext w:val="0"/>
        <w:keepLines w:val="0"/>
        <w:pageBreakBefore w:val="0"/>
        <w:numPr>
          <w:ilvl w:val="0"/>
          <w:numId w:val="0"/>
        </w:numPr>
        <w:kinsoku/>
        <w:wordWrap/>
        <w:overflowPunct/>
        <w:topLinePunct w:val="0"/>
        <w:bidi w:val="0"/>
        <w:snapToGrid/>
        <w:spacing w:line="560" w:lineRule="exact"/>
        <w:ind w:left="630" w:leftChars="0"/>
        <w:jc w:val="center"/>
        <w:textAlignment w:val="auto"/>
        <w:rPr>
          <w:rFonts w:hint="eastAsia" w:ascii="黑体" w:hAnsi="黑体" w:eastAsia="黑体" w:cs="黑体"/>
          <w:color w:val="auto"/>
          <w:sz w:val="32"/>
          <w:szCs w:val="32"/>
          <w:highlight w:val="none"/>
          <w:lang w:val="en-US" w:eastAsia="zh-CN"/>
        </w:rPr>
      </w:pPr>
    </w:p>
    <w:p w14:paraId="459FB473">
      <w:pPr>
        <w:keepNext w:val="0"/>
        <w:keepLines w:val="0"/>
        <w:pageBreakBefore w:val="0"/>
        <w:numPr>
          <w:ilvl w:val="0"/>
          <w:numId w:val="0"/>
        </w:numPr>
        <w:kinsoku/>
        <w:wordWrap/>
        <w:overflowPunct/>
        <w:topLinePunct w:val="0"/>
        <w:bidi w:val="0"/>
        <w:snapToGrid/>
        <w:spacing w:line="560" w:lineRule="exact"/>
        <w:ind w:left="630" w:leftChars="0"/>
        <w:jc w:val="center"/>
        <w:textAlignment w:val="auto"/>
        <w:rPr>
          <w:rFonts w:hint="eastAsia" w:ascii="黑体" w:hAnsi="黑体" w:eastAsia="黑体" w:cs="黑体"/>
          <w:color w:val="auto"/>
          <w:sz w:val="32"/>
          <w:szCs w:val="32"/>
          <w:highlight w:val="none"/>
          <w:lang w:val="en-US" w:eastAsia="zh-CN"/>
        </w:rPr>
      </w:pPr>
    </w:p>
    <w:p w14:paraId="75BC55DA">
      <w:pPr>
        <w:keepNext w:val="0"/>
        <w:keepLines w:val="0"/>
        <w:pageBreakBefore w:val="0"/>
        <w:numPr>
          <w:ilvl w:val="0"/>
          <w:numId w:val="0"/>
        </w:numPr>
        <w:kinsoku/>
        <w:wordWrap/>
        <w:overflowPunct/>
        <w:topLinePunct w:val="0"/>
        <w:bidi w:val="0"/>
        <w:snapToGrid/>
        <w:spacing w:line="560" w:lineRule="exact"/>
        <w:ind w:left="630" w:leftChars="0"/>
        <w:jc w:val="center"/>
        <w:textAlignment w:val="auto"/>
        <w:rPr>
          <w:rFonts w:hint="eastAsia" w:ascii="黑体" w:hAnsi="黑体" w:eastAsia="黑体" w:cs="黑体"/>
          <w:color w:val="auto"/>
          <w:sz w:val="32"/>
          <w:szCs w:val="32"/>
          <w:highlight w:val="none"/>
          <w:lang w:val="en-US" w:eastAsia="zh-CN"/>
        </w:rPr>
      </w:pPr>
    </w:p>
    <w:p w14:paraId="43FD01C7">
      <w:pPr>
        <w:keepNext w:val="0"/>
        <w:keepLines w:val="0"/>
        <w:pageBreakBefore w:val="0"/>
        <w:kinsoku/>
        <w:wordWrap/>
        <w:overflowPunct/>
        <w:topLinePunct w:val="0"/>
        <w:bidi w:val="0"/>
        <w:snapToGrid/>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00C437A6">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八、临时性建筑物搭建、堆放物料、占道施工审批</w:t>
      </w:r>
    </w:p>
    <w:p w14:paraId="53D63B36">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事中事后监管细则</w:t>
      </w:r>
    </w:p>
    <w:p w14:paraId="76A595A5">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（行政许可）</w:t>
      </w:r>
    </w:p>
    <w:p w14:paraId="77720B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heme="majorEastAsia" w:hAnsiTheme="majorEastAsia" w:eastAsiaTheme="majorEastAsia" w:cstheme="majorEastAsia"/>
          <w:color w:val="auto"/>
          <w:sz w:val="44"/>
          <w:szCs w:val="44"/>
          <w:highlight w:val="none"/>
          <w:lang w:val="en-US" w:eastAsia="zh-CN"/>
        </w:rPr>
      </w:pPr>
      <w:r>
        <w:rPr>
          <w:rFonts w:hint="eastAsia" w:ascii="楷体_GB2312" w:hAnsi="楷体_GB2312" w:eastAsia="楷体_GB2312" w:cs="楷体_GB2312"/>
          <w:b/>
          <w:bCs/>
          <w:color w:val="auto"/>
          <w:sz w:val="32"/>
          <w:szCs w:val="32"/>
          <w:highlight w:val="none"/>
          <w:lang w:val="en-US" w:eastAsia="zh-CN"/>
        </w:rPr>
        <w:t>一.责任事项</w:t>
      </w:r>
      <w:r>
        <w:rPr>
          <w:rFonts w:hint="eastAsia" w:ascii="楷体_GB2312" w:hAnsi="楷体_GB2312" w:eastAsia="楷体_GB2312" w:cs="楷体_GB2312"/>
          <w:b/>
          <w:bCs/>
          <w:color w:val="auto"/>
          <w:sz w:val="32"/>
          <w:szCs w:val="32"/>
          <w:highlight w:val="none"/>
          <w:lang w:val="en-US" w:eastAsia="zh-CN"/>
        </w:rPr>
        <w:tab/>
      </w:r>
      <w:r>
        <w:rPr>
          <w:rFonts w:hint="eastAsia" w:asciiTheme="majorEastAsia" w:hAnsiTheme="majorEastAsia" w:eastAsiaTheme="majorEastAsia" w:cstheme="majorEastAsia"/>
          <w:color w:val="auto"/>
          <w:sz w:val="44"/>
          <w:szCs w:val="44"/>
          <w:highlight w:val="none"/>
          <w:lang w:val="en-US" w:eastAsia="zh-CN"/>
        </w:rPr>
        <w:tab/>
      </w:r>
    </w:p>
    <w:p w14:paraId="6C96CD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1.受理阶段责任：公示依法应当提交的材料，一次性告知、依法受理或不予受理（不予受理的应当告知理由）。</w:t>
      </w:r>
    </w:p>
    <w:p w14:paraId="13821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2.审查阶段责任：材料审核、组织专家评审或听证、提出审查意见。</w:t>
      </w:r>
    </w:p>
    <w:p w14:paraId="29CAD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3.决定阶段责任：20日内作出许可或者不予许可决定（不予许可的应当告知理由）。</w:t>
      </w:r>
    </w:p>
    <w:p w14:paraId="0A3436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4.送达阶段责任：根据决策程序情况，同意办理的，印制送达建设项目选址意见书；不予许可的，退回资料并告知理由；信息公开。</w:t>
      </w:r>
    </w:p>
    <w:p w14:paraId="78508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5.事后监督责任：加强批后监管，依法查处违法违规行为。</w:t>
      </w:r>
    </w:p>
    <w:p w14:paraId="7AF8B4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6.其他法律法规规章文件规定应履行的责任。</w:t>
      </w:r>
    </w:p>
    <w:p w14:paraId="14ED70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二．追责情形</w:t>
      </w:r>
    </w:p>
    <w:p w14:paraId="230F87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因不履行或不正确履行行政职责，有下列情形的，行政机关及相关工作人员应承担相应的责任：</w:t>
      </w:r>
    </w:p>
    <w:p w14:paraId="15296A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1.对符合法定条件的项目申请不予受理、核准的；</w:t>
      </w:r>
    </w:p>
    <w:p w14:paraId="400220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2.对不符合法定条件的项目予以受理、核准的；</w:t>
      </w:r>
    </w:p>
    <w:p w14:paraId="534538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3.擅自增设、变更项目核准程序或核准条件的；</w:t>
      </w:r>
    </w:p>
    <w:p w14:paraId="1DDC3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4.未在法定时限内作出核准决定的；</w:t>
      </w:r>
    </w:p>
    <w:p w14:paraId="6DDA2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5.擅自变更、延续、撤销已核准项目的；</w:t>
      </w:r>
    </w:p>
    <w:p w14:paraId="0BF33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6.在项目监管中滥用职权、玩忽职守，造成较大损失的；</w:t>
      </w:r>
    </w:p>
    <w:p w14:paraId="3BE8FF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7.索取或者收受他人财物或者谋取其他利益的；</w:t>
      </w:r>
    </w:p>
    <w:p w14:paraId="77FA9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8.其他违反法律法规政策规定的行为。</w:t>
      </w:r>
    </w:p>
    <w:p w14:paraId="0A7BA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三．追责依据</w:t>
      </w:r>
      <w:r>
        <w:rPr>
          <w:rFonts w:hint="eastAsia" w:ascii="楷体_GB2312" w:hAnsi="楷体_GB2312" w:eastAsia="楷体_GB2312" w:cs="楷体_GB2312"/>
          <w:b/>
          <w:bCs/>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ab/>
      </w:r>
    </w:p>
    <w:p w14:paraId="5B5C8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省城市建设管理条例》第六十八条城市建设执法人员有下列情形之一的，由其所在单位或者发证机关暂扣或者收回其行政执法证件，并依法给予行政处分；造成损失的，依法承担赔偿责任；构成犯罪的，依法追究刑事责任：</w:t>
      </w:r>
    </w:p>
    <w:p w14:paraId="4816B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（一）不履行法定职责或者滥用职权、滥施处罚的；</w:t>
      </w:r>
    </w:p>
    <w:p w14:paraId="13149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（二）侵犯当事人合法权益的；</w:t>
      </w:r>
    </w:p>
    <w:p w14:paraId="45FC5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（三）对控告、检举、申请行政复议及提起行政诉讼的公民、法人或者其他组织打击报复的；</w:t>
      </w:r>
    </w:p>
    <w:p w14:paraId="7BC71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（四）在行政执法活动中徇私舞弊、索贿受贿的。</w:t>
      </w:r>
    </w:p>
    <w:p w14:paraId="286B3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四．设定依据</w:t>
      </w:r>
    </w:p>
    <w:p w14:paraId="381081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61857123">
      <w:pPr>
        <w:keepNext w:val="0"/>
        <w:keepLines w:val="0"/>
        <w:pageBreakBefore w:val="0"/>
        <w:kinsoku/>
        <w:wordWrap/>
        <w:overflowPunct/>
        <w:topLinePunct w:val="0"/>
        <w:bidi w:val="0"/>
        <w:snapToGrid/>
        <w:spacing w:line="560" w:lineRule="exact"/>
        <w:jc w:val="both"/>
        <w:textAlignment w:val="auto"/>
        <w:rPr>
          <w:rFonts w:hint="eastAsia" w:ascii="黑体" w:hAnsi="黑体" w:eastAsia="黑体" w:cs="黑体"/>
          <w:b w:val="0"/>
          <w:bCs w:val="0"/>
          <w:color w:val="auto"/>
          <w:sz w:val="32"/>
          <w:szCs w:val="32"/>
          <w:highlight w:val="none"/>
          <w:lang w:eastAsia="zh-CN"/>
        </w:rPr>
      </w:pPr>
    </w:p>
    <w:p w14:paraId="2BDBF34E">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九、</w:t>
      </w:r>
      <w:r>
        <w:rPr>
          <w:rFonts w:hint="eastAsia" w:ascii="黑体" w:hAnsi="黑体" w:eastAsia="黑体" w:cs="黑体"/>
          <w:b w:val="0"/>
          <w:bCs w:val="0"/>
          <w:color w:val="auto"/>
          <w:sz w:val="32"/>
          <w:szCs w:val="32"/>
          <w:highlight w:val="none"/>
        </w:rPr>
        <w:t>关闭、闲置、拆除城市环境卫生设施许可</w:t>
      </w:r>
    </w:p>
    <w:p w14:paraId="2473E577">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事中事后监管细则</w:t>
      </w:r>
    </w:p>
    <w:p w14:paraId="24F382AA">
      <w:pPr>
        <w:keepNext w:val="0"/>
        <w:keepLines w:val="0"/>
        <w:pageBreakBefore w:val="0"/>
        <w:kinsoku/>
        <w:wordWrap/>
        <w:overflowPunct/>
        <w:topLinePunct w:val="0"/>
        <w:bidi w:val="0"/>
        <w:snapToGrid/>
        <w:spacing w:line="560" w:lineRule="exact"/>
        <w:ind w:firstLine="3520" w:firstLineChars="1100"/>
        <w:textAlignment w:val="auto"/>
        <w:rPr>
          <w:rFonts w:hint="eastAsia"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lang w:val="zh-CN"/>
        </w:rPr>
        <w:t>（行政许可）</w:t>
      </w:r>
    </w:p>
    <w:p w14:paraId="0E7CE32B">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
          <w:color w:val="auto"/>
          <w:highlight w:val="none"/>
        </w:rPr>
      </w:pPr>
      <w:r>
        <w:rPr>
          <w:rFonts w:hint="eastAsia"/>
          <w:color w:val="auto"/>
          <w:highlight w:val="none"/>
          <w:lang w:val="zh-CN"/>
        </w:rPr>
        <w:t>为深入推进简政放权、放管结合、优化服务，加强行政审批事中事后监管工作，规范行政行为，</w:t>
      </w:r>
      <w:r>
        <w:rPr>
          <w:rFonts w:hint="eastAsia" w:ascii="仿宋_GB2312" w:hAnsi="仿宋"/>
          <w:color w:val="auto"/>
          <w:highlight w:val="none"/>
        </w:rPr>
        <w:t>根据相关法律法规，结合实际，制定本监管细则。</w:t>
      </w:r>
    </w:p>
    <w:p w14:paraId="55BB4279">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highlight w:val="none"/>
        </w:rPr>
      </w:pPr>
      <w:r>
        <w:rPr>
          <w:rFonts w:hint="eastAsia" w:ascii="仿宋_GB2312" w:hAnsi="仿宋"/>
          <w:color w:val="auto"/>
          <w:highlight w:val="none"/>
        </w:rPr>
        <w:t>权力类型：行政</w:t>
      </w:r>
      <w:r>
        <w:rPr>
          <w:rFonts w:hint="eastAsia" w:ascii="仿宋_GB2312" w:hAnsi="仿宋"/>
          <w:color w:val="auto"/>
          <w:highlight w:val="none"/>
          <w:lang w:eastAsia="zh-CN"/>
        </w:rPr>
        <w:t>许可</w:t>
      </w:r>
      <w:r>
        <w:rPr>
          <w:rFonts w:hint="eastAsia" w:ascii="仿宋_GB2312" w:hAnsi="仿宋"/>
          <w:color w:val="auto"/>
          <w:highlight w:val="none"/>
        </w:rPr>
        <w:t>，项目名称：</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hAnsi="仿宋"/>
          <w:color w:val="auto"/>
          <w:szCs w:val="21"/>
          <w:highlight w:val="none"/>
          <w:lang w:eastAsia="zh-CN"/>
        </w:rPr>
        <w:t>城市环卫</w:t>
      </w:r>
      <w:r>
        <w:rPr>
          <w:rFonts w:hint="eastAsia" w:ascii="仿宋_GB2312" w:hAnsi="仿宋"/>
          <w:color w:val="auto"/>
          <w:szCs w:val="21"/>
          <w:highlight w:val="none"/>
        </w:rPr>
        <w:t>设施的审批</w:t>
      </w:r>
      <w:r>
        <w:rPr>
          <w:rFonts w:hint="eastAsia" w:ascii="仿宋_GB2312" w:hAnsi="仿宋"/>
          <w:color w:val="auto"/>
          <w:highlight w:val="none"/>
        </w:rPr>
        <w:t>。</w:t>
      </w:r>
    </w:p>
    <w:p w14:paraId="100ED020">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highlight w:val="none"/>
        </w:rPr>
      </w:pPr>
      <w:r>
        <w:rPr>
          <w:rFonts w:hint="eastAsia" w:ascii="楷体_GB2312" w:hAnsi="楷体_GB2312" w:eastAsia="楷体_GB2312" w:cs="楷体_GB2312"/>
          <w:b/>
          <w:bCs/>
          <w:color w:val="auto"/>
          <w:highlight w:val="none"/>
        </w:rPr>
        <w:t>一、监管任务</w:t>
      </w:r>
    </w:p>
    <w:p w14:paraId="58DA5BD8">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
          <w:color w:val="auto"/>
          <w:highlight w:val="none"/>
        </w:rPr>
      </w:pPr>
      <w:r>
        <w:rPr>
          <w:rFonts w:hint="eastAsia" w:ascii="仿宋_GB2312" w:hAnsi="仿宋"/>
          <w:color w:val="auto"/>
          <w:highlight w:val="none"/>
        </w:rPr>
        <w:t>依照法律、行政法规等规定，通过对</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hAnsi="仿宋"/>
          <w:color w:val="auto"/>
          <w:szCs w:val="21"/>
          <w:highlight w:val="none"/>
          <w:lang w:eastAsia="zh-CN"/>
        </w:rPr>
        <w:t>城市环卫</w:t>
      </w:r>
      <w:r>
        <w:rPr>
          <w:rFonts w:hint="eastAsia" w:ascii="仿宋_GB2312" w:hAnsi="仿宋"/>
          <w:color w:val="auto"/>
          <w:szCs w:val="21"/>
          <w:highlight w:val="none"/>
        </w:rPr>
        <w:t>设施的审批</w:t>
      </w:r>
      <w:r>
        <w:rPr>
          <w:rFonts w:hint="eastAsia" w:ascii="仿宋_GB2312" w:hAnsi="仿宋"/>
          <w:color w:val="auto"/>
          <w:highlight w:val="none"/>
        </w:rPr>
        <w:t>事中事后监管措施，加强城市市容和环境卫生管理，创造清洁、优美的城市环境，促进城市文明建设。</w:t>
      </w:r>
    </w:p>
    <w:p w14:paraId="7E286997">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highlight w:val="none"/>
        </w:rPr>
      </w:pPr>
      <w:r>
        <w:rPr>
          <w:rFonts w:hint="eastAsia" w:ascii="楷体_GB2312" w:hAnsi="楷体_GB2312" w:eastAsia="楷体_GB2312" w:cs="楷体_GB2312"/>
          <w:b/>
          <w:bCs/>
          <w:color w:val="auto"/>
          <w:highlight w:val="none"/>
        </w:rPr>
        <w:t>二、事中监管</w:t>
      </w:r>
    </w:p>
    <w:p w14:paraId="05D5598C">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（一）材料审查</w:t>
      </w:r>
    </w:p>
    <w:p w14:paraId="429F5CFA">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在办公场所公示依法应当提交的材料，符合条件的，依法受理；不符合受理条件的，告知理由；需要补正材料的，一次性告知。材料主要包括：</w:t>
      </w:r>
    </w:p>
    <w:p w14:paraId="55048C9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1、环卫设施</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color w:val="auto"/>
          <w:highlight w:val="none"/>
        </w:rPr>
        <w:t>许可申报表；</w:t>
      </w:r>
    </w:p>
    <w:p w14:paraId="7EAEB2D8">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2、建设单位提交规划部门许可的环卫设施还建方案（附图）；</w:t>
      </w:r>
    </w:p>
    <w:p w14:paraId="143B6F6A">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3、工程项目批准文件；</w:t>
      </w:r>
    </w:p>
    <w:p w14:paraId="12A4B99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4、法定代表人身份证件。</w:t>
      </w:r>
    </w:p>
    <w:p w14:paraId="7B1C8281">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（二）现场核查</w:t>
      </w:r>
    </w:p>
    <w:p w14:paraId="6D2CBE6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核查部门派2名以上工作人员根据材料审核情况进行现场核查，然后根据核查情况和部门的意见，提出初审意见。核查内容包括：</w:t>
      </w:r>
    </w:p>
    <w:p w14:paraId="4692D249">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1、符合建设部《城市环境卫生设施设置标准》；</w:t>
      </w:r>
    </w:p>
    <w:p w14:paraId="6986524E">
      <w:pPr>
        <w:keepNext w:val="0"/>
        <w:keepLines w:val="0"/>
        <w:pageBreakBefore w:val="0"/>
        <w:kinsoku/>
        <w:wordWrap/>
        <w:overflowPunct/>
        <w:topLinePunct w:val="0"/>
        <w:bidi w:val="0"/>
        <w:snapToGrid/>
        <w:spacing w:line="560" w:lineRule="exact"/>
        <w:textAlignment w:val="auto"/>
        <w:rPr>
          <w:rFonts w:hint="eastAsia" w:ascii="仿宋_GB2312"/>
          <w:color w:val="auto"/>
          <w:highlight w:val="none"/>
        </w:rPr>
      </w:pPr>
      <w:r>
        <w:rPr>
          <w:rFonts w:hint="eastAsia" w:ascii="仿宋_GB2312"/>
          <w:color w:val="auto"/>
          <w:highlight w:val="none"/>
        </w:rPr>
        <w:t>2、因工程建设需要</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color w:val="auto"/>
          <w:highlight w:val="none"/>
        </w:rPr>
        <w:t>环卫设施；</w:t>
      </w:r>
    </w:p>
    <w:p w14:paraId="71BF3F95">
      <w:pPr>
        <w:keepNext w:val="0"/>
        <w:keepLines w:val="0"/>
        <w:pageBreakBefore w:val="0"/>
        <w:kinsoku/>
        <w:wordWrap/>
        <w:overflowPunct/>
        <w:topLinePunct w:val="0"/>
        <w:bidi w:val="0"/>
        <w:snapToGrid/>
        <w:spacing w:line="560" w:lineRule="exact"/>
        <w:textAlignment w:val="auto"/>
        <w:rPr>
          <w:rFonts w:hint="eastAsia" w:ascii="仿宋_GB2312"/>
          <w:color w:val="auto"/>
          <w:highlight w:val="none"/>
        </w:rPr>
      </w:pPr>
      <w:r>
        <w:rPr>
          <w:rFonts w:hint="eastAsia" w:ascii="仿宋_GB2312"/>
          <w:color w:val="auto"/>
          <w:highlight w:val="none"/>
        </w:rPr>
        <w:t>3、环卫设施拆迁还建方案；</w:t>
      </w:r>
    </w:p>
    <w:p w14:paraId="1157BA9D">
      <w:pPr>
        <w:keepNext w:val="0"/>
        <w:keepLines w:val="0"/>
        <w:pageBreakBefore w:val="0"/>
        <w:kinsoku/>
        <w:wordWrap/>
        <w:overflowPunct/>
        <w:topLinePunct w:val="0"/>
        <w:bidi w:val="0"/>
        <w:snapToGrid/>
        <w:spacing w:line="560" w:lineRule="exact"/>
        <w:textAlignment w:val="auto"/>
        <w:rPr>
          <w:rFonts w:hint="eastAsia" w:ascii="仿宋_GB2312"/>
          <w:color w:val="auto"/>
          <w:highlight w:val="none"/>
        </w:rPr>
      </w:pPr>
      <w:r>
        <w:rPr>
          <w:rFonts w:hint="eastAsia" w:ascii="仿宋_GB2312"/>
          <w:color w:val="auto"/>
          <w:highlight w:val="none"/>
        </w:rPr>
        <w:t>4、各种手续齐备。</w:t>
      </w:r>
    </w:p>
    <w:p w14:paraId="06F84ED6">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（三）作出决定</w:t>
      </w:r>
    </w:p>
    <w:p w14:paraId="560E944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作出准予许可决定，不予行政许可的应当告知申请人理由和行政复议或诉讼的权利；按时办结。</w:t>
      </w:r>
    </w:p>
    <w:p w14:paraId="6CECED25">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（四）送达决定</w:t>
      </w:r>
    </w:p>
    <w:p w14:paraId="762DA1D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送达行政许可（或不予许可）决定文书；信息公开。</w:t>
      </w:r>
    </w:p>
    <w:p w14:paraId="04B5E20A">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（五）现场复查</w:t>
      </w:r>
    </w:p>
    <w:p w14:paraId="27B4B93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1、复查是否依法取得了《准予行政许可决定书》；</w:t>
      </w:r>
    </w:p>
    <w:p w14:paraId="2DA0AEDF">
      <w:pPr>
        <w:keepNext w:val="0"/>
        <w:keepLines w:val="0"/>
        <w:pageBreakBefore w:val="0"/>
        <w:kinsoku/>
        <w:wordWrap/>
        <w:overflowPunct/>
        <w:topLinePunct w:val="0"/>
        <w:bidi w:val="0"/>
        <w:snapToGrid/>
        <w:spacing w:line="560" w:lineRule="exact"/>
        <w:textAlignment w:val="auto"/>
        <w:rPr>
          <w:rFonts w:hint="eastAsia" w:ascii="仿宋_GB2312"/>
          <w:color w:val="auto"/>
          <w:highlight w:val="none"/>
        </w:rPr>
      </w:pPr>
      <w:r>
        <w:rPr>
          <w:rFonts w:hint="eastAsia" w:ascii="仿宋_GB2312"/>
          <w:color w:val="auto"/>
          <w:highlight w:val="none"/>
        </w:rPr>
        <w:t>2、对《不予行政许可决定书》中不符合行政许可审批决定的事项是否进行了整改。</w:t>
      </w:r>
    </w:p>
    <w:p w14:paraId="3073B740">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（六）建立监管档案</w:t>
      </w:r>
    </w:p>
    <w:p w14:paraId="779D8D5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highlight w:val="none"/>
        </w:rPr>
      </w:pPr>
      <w:r>
        <w:rPr>
          <w:rFonts w:hint="eastAsia" w:ascii="仿宋_GB2312" w:hAnsi="仿宋"/>
          <w:color w:val="auto"/>
          <w:highlight w:val="none"/>
          <w:lang w:val="en-US" w:eastAsia="zh-CN"/>
        </w:rPr>
        <w:t>镇人民政府</w:t>
      </w:r>
      <w:r>
        <w:rPr>
          <w:rFonts w:hint="eastAsia" w:ascii="仿宋_GB2312"/>
          <w:color w:val="auto"/>
          <w:highlight w:val="none"/>
        </w:rPr>
        <w:t>应建立本行政区域内行政审批事项监管档案。监管档案主要内容包括：1、行政许可申请书；2、行政许可事项申请材料一次性告知书及申请行政许可材料补正告知书；3、行政许可受理（不受理）审批表；4、受理（不受理）行政许可通知；5、陈述申辩告知书；6、现场勘验检查笔录；7、准予（不准予）行政许可决定审批表；8、准予行政许可（或不予行政许可）决定书；9、行政许可结案报告；10、行政许可文书送达回证；11、承办人员执法证件复印件；12、其他监督档案的资料。</w:t>
      </w:r>
    </w:p>
    <w:p w14:paraId="57371F6F">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highlight w:val="none"/>
        </w:rPr>
      </w:pPr>
      <w:r>
        <w:rPr>
          <w:rFonts w:hint="eastAsia" w:ascii="楷体_GB2312" w:hAnsi="楷体_GB2312" w:eastAsia="楷体_GB2312" w:cs="楷体_GB2312"/>
          <w:b/>
          <w:bCs/>
          <w:color w:val="auto"/>
          <w:highlight w:val="none"/>
        </w:rPr>
        <w:t>三、事后监管</w:t>
      </w:r>
    </w:p>
    <w:p w14:paraId="1DB83208">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
          <w:color w:val="auto"/>
          <w:highlight w:val="none"/>
        </w:rPr>
      </w:pPr>
      <w:r>
        <w:rPr>
          <w:rFonts w:hint="eastAsia" w:ascii="仿宋_GB2312" w:hAnsi="仿宋"/>
          <w:color w:val="auto"/>
          <w:highlight w:val="none"/>
        </w:rPr>
        <w:t>（一）任何单位和个人发现经营单位或个人未取得行政许可</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hAnsi="仿宋"/>
          <w:color w:val="auto"/>
          <w:szCs w:val="21"/>
          <w:highlight w:val="none"/>
          <w:lang w:eastAsia="zh-CN"/>
        </w:rPr>
        <w:t>城市环卫</w:t>
      </w:r>
      <w:r>
        <w:rPr>
          <w:rFonts w:hint="eastAsia" w:ascii="仿宋_GB2312" w:hAnsi="仿宋"/>
          <w:color w:val="auto"/>
          <w:szCs w:val="21"/>
          <w:highlight w:val="none"/>
        </w:rPr>
        <w:t>设施的审批</w:t>
      </w:r>
      <w:r>
        <w:rPr>
          <w:rFonts w:hint="eastAsia" w:ascii="仿宋_GB2312" w:hAnsi="仿宋"/>
          <w:color w:val="auto"/>
          <w:highlight w:val="none"/>
        </w:rPr>
        <w:t>，有权向</w:t>
      </w:r>
      <w:r>
        <w:rPr>
          <w:rFonts w:hint="eastAsia" w:ascii="仿宋_GB2312" w:hAnsi="仿宋"/>
          <w:color w:val="auto"/>
          <w:highlight w:val="none"/>
          <w:lang w:val="en-US" w:eastAsia="zh-CN"/>
        </w:rPr>
        <w:t>镇人民政府</w:t>
      </w:r>
      <w:r>
        <w:rPr>
          <w:rFonts w:hint="eastAsia" w:ascii="仿宋_GB2312" w:hAnsi="仿宋"/>
          <w:color w:val="auto"/>
          <w:highlight w:val="none"/>
        </w:rPr>
        <w:t>举报，</w:t>
      </w:r>
      <w:r>
        <w:rPr>
          <w:rFonts w:hint="eastAsia" w:ascii="仿宋_GB2312" w:hAnsi="仿宋"/>
          <w:color w:val="auto"/>
          <w:highlight w:val="none"/>
          <w:lang w:val="en-US" w:eastAsia="zh-CN"/>
        </w:rPr>
        <w:t>镇人民政府</w:t>
      </w:r>
      <w:r>
        <w:rPr>
          <w:rFonts w:hint="eastAsia" w:ascii="仿宋_GB2312" w:hAnsi="仿宋"/>
          <w:color w:val="auto"/>
          <w:highlight w:val="none"/>
        </w:rPr>
        <w:t>应当及时核查、处理。</w:t>
      </w:r>
    </w:p>
    <w:p w14:paraId="595D8135">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
          <w:color w:val="auto"/>
          <w:highlight w:val="none"/>
        </w:rPr>
      </w:pPr>
      <w:r>
        <w:rPr>
          <w:rFonts w:hint="eastAsia" w:ascii="仿宋_GB2312" w:hAnsi="仿宋"/>
          <w:color w:val="auto"/>
          <w:highlight w:val="none"/>
        </w:rPr>
        <w:t>（二）对行政许可审批事项进行经常性的监督检查。对复查中发现的违法问题，符合立案条件的，及时立案查处。</w:t>
      </w:r>
    </w:p>
    <w:p w14:paraId="41A1139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楷体" w:cs="黑体"/>
          <w:color w:val="auto"/>
          <w:highlight w:val="none"/>
        </w:rPr>
      </w:pPr>
      <w:r>
        <w:rPr>
          <w:rFonts w:hint="eastAsia" w:ascii="仿宋_GB2312" w:hAnsi="仿宋"/>
          <w:color w:val="auto"/>
          <w:highlight w:val="none"/>
        </w:rPr>
        <w:t>（三）</w:t>
      </w:r>
      <w:r>
        <w:rPr>
          <w:rFonts w:hint="eastAsia" w:ascii="仿宋_GB2312" w:hAnsi="仿宋"/>
          <w:color w:val="auto"/>
          <w:szCs w:val="21"/>
          <w:highlight w:val="none"/>
        </w:rPr>
        <w:t>依法对未经行政许可审批事项的违法违规行为的举报进行受理查处，依法对行政机关及相关工作人员</w:t>
      </w:r>
      <w:r>
        <w:rPr>
          <w:rFonts w:hint="eastAsia" w:ascii="仿宋_GB2312" w:hAnsi="楷体" w:cs="黑体"/>
          <w:color w:val="auto"/>
          <w:highlight w:val="none"/>
        </w:rPr>
        <w:t>不履行或不正确履行行政职责行为的举报进行受理查处。</w:t>
      </w:r>
    </w:p>
    <w:p w14:paraId="7492847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highlight w:val="none"/>
        </w:rPr>
        <w:t>（四）</w:t>
      </w:r>
      <w:r>
        <w:rPr>
          <w:rFonts w:hint="eastAsia" w:ascii="仿宋_GB2312" w:hAnsi="仿宋"/>
          <w:color w:val="auto"/>
          <w:szCs w:val="21"/>
          <w:highlight w:val="none"/>
        </w:rPr>
        <w:t>行政相对人和利害关系人对</w:t>
      </w:r>
      <w:r>
        <w:rPr>
          <w:rFonts w:hint="eastAsia" w:ascii="仿宋_GB2312" w:hAnsi="仿宋"/>
          <w:color w:val="auto"/>
          <w:highlight w:val="none"/>
          <w:lang w:val="en-US" w:eastAsia="zh-CN"/>
        </w:rPr>
        <w:t>镇人民政府</w:t>
      </w:r>
      <w:r>
        <w:rPr>
          <w:rFonts w:hint="eastAsia" w:ascii="仿宋_GB2312" w:hAnsi="仿宋"/>
          <w:color w:val="auto"/>
          <w:highlight w:val="none"/>
        </w:rPr>
        <w:t>在</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hAnsi="仿宋"/>
          <w:color w:val="auto"/>
          <w:szCs w:val="21"/>
          <w:highlight w:val="none"/>
          <w:lang w:eastAsia="zh-CN"/>
        </w:rPr>
        <w:t>城市环卫</w:t>
      </w:r>
      <w:r>
        <w:rPr>
          <w:rFonts w:hint="eastAsia" w:ascii="仿宋_GB2312" w:hAnsi="仿宋"/>
          <w:color w:val="auto"/>
          <w:szCs w:val="21"/>
          <w:highlight w:val="none"/>
        </w:rPr>
        <w:t>设施</w:t>
      </w:r>
      <w:r>
        <w:rPr>
          <w:rFonts w:hint="eastAsia" w:ascii="仿宋_GB2312" w:hAnsi="仿宋"/>
          <w:color w:val="auto"/>
          <w:highlight w:val="none"/>
        </w:rPr>
        <w:t>审批工作中作出的具体行政决定不服的，可以自收到决定之日起60日内向</w:t>
      </w:r>
      <w:r>
        <w:rPr>
          <w:rFonts w:hint="eastAsia" w:ascii="仿宋_GB2312" w:hAnsi="仿宋"/>
          <w:color w:val="auto"/>
          <w:highlight w:val="none"/>
          <w:lang w:val="en-US" w:eastAsia="zh-CN"/>
        </w:rPr>
        <w:t>屯溪区人民政府</w:t>
      </w:r>
      <w:r>
        <w:rPr>
          <w:rFonts w:hint="eastAsia" w:ascii="仿宋_GB2312" w:hAnsi="仿宋"/>
          <w:color w:val="auto"/>
          <w:highlight w:val="none"/>
        </w:rPr>
        <w:t>申请行政复议，也可以于6个月内依法向人民法院提起行政诉讼。行政复议或者行政诉讼期间，行政决定不停止执行。</w:t>
      </w:r>
    </w:p>
    <w:p w14:paraId="68CCE972">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highlight w:val="none"/>
        </w:rPr>
      </w:pPr>
      <w:r>
        <w:rPr>
          <w:rFonts w:hint="eastAsia" w:ascii="楷体_GB2312" w:hAnsi="楷体_GB2312" w:eastAsia="楷体_GB2312" w:cs="楷体_GB2312"/>
          <w:b/>
          <w:bCs/>
          <w:color w:val="auto"/>
          <w:highlight w:val="none"/>
        </w:rPr>
        <w:t>四、责任追究</w:t>
      </w:r>
    </w:p>
    <w:p w14:paraId="2FB541E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楷体" w:cs="黑体"/>
          <w:color w:val="auto"/>
          <w:highlight w:val="none"/>
        </w:rPr>
      </w:pPr>
      <w:r>
        <w:rPr>
          <w:rFonts w:hint="eastAsia" w:ascii="仿宋_GB2312" w:hAnsi="宋体"/>
          <w:color w:val="auto"/>
          <w:highlight w:val="none"/>
        </w:rPr>
        <w:t>在</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hAnsi="仿宋"/>
          <w:color w:val="auto"/>
          <w:szCs w:val="21"/>
          <w:highlight w:val="none"/>
          <w:lang w:eastAsia="zh-CN"/>
        </w:rPr>
        <w:t>城市环卫</w:t>
      </w:r>
      <w:r>
        <w:rPr>
          <w:rFonts w:hint="eastAsia" w:ascii="仿宋_GB2312" w:hAnsi="仿宋"/>
          <w:color w:val="auto"/>
          <w:szCs w:val="21"/>
          <w:highlight w:val="none"/>
        </w:rPr>
        <w:t>设施的审批</w:t>
      </w:r>
      <w:r>
        <w:rPr>
          <w:rFonts w:hint="eastAsia" w:ascii="仿宋_GB2312" w:hAnsi="楷体" w:cs="黑体"/>
          <w:color w:val="auto"/>
          <w:highlight w:val="none"/>
        </w:rPr>
        <w:t>工作中，因不履行或不正确履行行政职责，有下列情形的，行政机关及相关工作人员应承担相应责任：</w:t>
      </w:r>
    </w:p>
    <w:p w14:paraId="7D14A90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szCs w:val="21"/>
          <w:highlight w:val="none"/>
        </w:rPr>
        <w:t>1、对符合法定条件的项目申请不予受理、核准的；</w:t>
      </w:r>
    </w:p>
    <w:p w14:paraId="756FD71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szCs w:val="21"/>
          <w:highlight w:val="none"/>
        </w:rPr>
        <w:t>2、对不符合法定条件的项目予以受理、核准的；</w:t>
      </w:r>
    </w:p>
    <w:p w14:paraId="18D5757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szCs w:val="21"/>
          <w:highlight w:val="none"/>
        </w:rPr>
        <w:t>3、未在法定时限内按照法定程序作出核准决定的；</w:t>
      </w:r>
    </w:p>
    <w:p w14:paraId="0CDB7DD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szCs w:val="21"/>
          <w:highlight w:val="none"/>
        </w:rPr>
        <w:t>4、擅自变更、延续、撤销已核准项目的；</w:t>
      </w:r>
    </w:p>
    <w:p w14:paraId="16E6A7C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szCs w:val="21"/>
          <w:highlight w:val="none"/>
        </w:rPr>
        <w:t>5、在受理、审查、审批过程中滥用职权、玩忽职守，造成较大损失的；</w:t>
      </w:r>
    </w:p>
    <w:p w14:paraId="4FA2B04D">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szCs w:val="21"/>
          <w:highlight w:val="none"/>
        </w:rPr>
        <w:t>6、索取或者收受他人财物或者谋取其他利益的；</w:t>
      </w:r>
    </w:p>
    <w:p w14:paraId="4BA8F8C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eastAsia="仿宋_GB2312" w:cs="黑体"/>
          <w:color w:val="auto"/>
          <w:highlight w:val="none"/>
          <w:lang w:eastAsia="zh-CN"/>
        </w:rPr>
      </w:pPr>
      <w:r>
        <w:rPr>
          <w:rFonts w:hint="eastAsia" w:ascii="仿宋_GB2312" w:hAnsi="仿宋"/>
          <w:color w:val="auto"/>
          <w:szCs w:val="21"/>
          <w:highlight w:val="none"/>
        </w:rPr>
        <w:t>7、其他违反法律法规文件规定的行为。</w:t>
      </w:r>
    </w:p>
    <w:p w14:paraId="285685F4">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highlight w:val="none"/>
        </w:rPr>
      </w:pPr>
      <w:r>
        <w:rPr>
          <w:rFonts w:hint="eastAsia" w:ascii="楷体_GB2312" w:hAnsi="楷体_GB2312" w:eastAsia="楷体_GB2312" w:cs="楷体_GB2312"/>
          <w:b/>
          <w:bCs/>
          <w:color w:val="auto"/>
          <w:highlight w:val="none"/>
        </w:rPr>
        <w:t>五、保障措施</w:t>
      </w:r>
    </w:p>
    <w:p w14:paraId="5A81931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highlight w:val="none"/>
        </w:rPr>
      </w:pPr>
      <w:r>
        <w:rPr>
          <w:rFonts w:hint="eastAsia" w:ascii="仿宋_GB2312" w:hAnsi="仿宋"/>
          <w:color w:val="auto"/>
          <w:szCs w:val="21"/>
          <w:highlight w:val="none"/>
        </w:rPr>
        <w:t>（一）实施“审批查”改革。</w:t>
      </w:r>
      <w:r>
        <w:rPr>
          <w:rFonts w:hint="eastAsia" w:ascii="仿宋_GB2312" w:hAnsi="仿宋"/>
          <w:color w:val="auto"/>
          <w:highlight w:val="none"/>
          <w:lang w:val="en-US" w:eastAsia="zh-CN"/>
        </w:rPr>
        <w:t>镇人民政府</w:t>
      </w:r>
      <w:r>
        <w:rPr>
          <w:rFonts w:hint="eastAsia" w:ascii="仿宋_GB2312" w:hAnsi="仿宋"/>
          <w:color w:val="auto"/>
          <w:highlight w:val="none"/>
        </w:rPr>
        <w:t>要高度重视</w:t>
      </w:r>
      <w:r>
        <w:rPr>
          <w:rFonts w:hint="eastAsia" w:ascii="仿宋_GB2312" w:hAnsi="仿宋"/>
          <w:color w:val="auto"/>
          <w:highlight w:val="none"/>
          <w:lang w:eastAsia="zh-CN"/>
        </w:rPr>
        <w:t>关闭、闲置、</w:t>
      </w:r>
      <w:r>
        <w:rPr>
          <w:rFonts w:hint="eastAsia" w:ascii="仿宋_GB2312" w:hAnsi="仿宋"/>
          <w:color w:val="auto"/>
          <w:szCs w:val="21"/>
          <w:highlight w:val="none"/>
        </w:rPr>
        <w:t>拆除</w:t>
      </w:r>
      <w:r>
        <w:rPr>
          <w:rFonts w:hint="eastAsia" w:ascii="仿宋_GB2312" w:hAnsi="仿宋"/>
          <w:color w:val="auto"/>
          <w:szCs w:val="21"/>
          <w:highlight w:val="none"/>
          <w:lang w:eastAsia="zh-CN"/>
        </w:rPr>
        <w:t>城市环卫</w:t>
      </w:r>
      <w:r>
        <w:rPr>
          <w:rFonts w:hint="eastAsia" w:ascii="仿宋_GB2312" w:hAnsi="仿宋"/>
          <w:color w:val="auto"/>
          <w:szCs w:val="21"/>
          <w:highlight w:val="none"/>
        </w:rPr>
        <w:t>设施的审批</w:t>
      </w:r>
      <w:r>
        <w:rPr>
          <w:rFonts w:hint="eastAsia" w:ascii="仿宋_GB2312" w:hAnsi="仿宋"/>
          <w:color w:val="auto"/>
          <w:highlight w:val="none"/>
        </w:rPr>
        <w:t>事中事后监管工作，按照“审、批、查”相互分离、相互衔接和简政放权、放管结合、转变职能的要求，强化组织领导，完善监管办法，落实保障措施，严肃查处问题，确保事中事后监管工作有序进行。</w:t>
      </w:r>
    </w:p>
    <w:p w14:paraId="16C2FCA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highlight w:val="none"/>
        </w:rPr>
      </w:pPr>
      <w:r>
        <w:rPr>
          <w:rFonts w:hint="eastAsia" w:ascii="仿宋_GB2312" w:hAnsi="仿宋"/>
          <w:color w:val="auto"/>
          <w:highlight w:val="none"/>
        </w:rPr>
        <w:t>（二）厘清权责边界。针对权力交叉、监管空白等问题，科学划分职能，明确权力范围和责任范围，建立上下联动监管机制。</w:t>
      </w:r>
    </w:p>
    <w:p w14:paraId="3B3F086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color w:val="auto"/>
          <w:szCs w:val="21"/>
          <w:highlight w:val="none"/>
        </w:rPr>
      </w:pPr>
      <w:r>
        <w:rPr>
          <w:rFonts w:hint="eastAsia" w:ascii="仿宋_GB2312" w:hAnsi="仿宋"/>
          <w:color w:val="auto"/>
          <w:highlight w:val="none"/>
        </w:rPr>
        <w:t>（三）加强人员培训。</w:t>
      </w:r>
      <w:r>
        <w:rPr>
          <w:rFonts w:hint="eastAsia" w:ascii="仿宋_GB2312" w:hAnsi="仿宋"/>
          <w:color w:val="auto"/>
          <w:highlight w:val="none"/>
          <w:lang w:val="en-US" w:eastAsia="zh-CN"/>
        </w:rPr>
        <w:t>镇人民政府</w:t>
      </w:r>
      <w:r>
        <w:rPr>
          <w:rFonts w:hint="eastAsia" w:ascii="仿宋_GB2312" w:hAnsi="仿宋"/>
          <w:color w:val="auto"/>
          <w:highlight w:val="none"/>
        </w:rPr>
        <w:t>应当加强对</w:t>
      </w:r>
      <w:r>
        <w:rPr>
          <w:rFonts w:hint="eastAsia" w:ascii="仿宋_GB2312" w:hAnsi="仿宋"/>
          <w:color w:val="auto"/>
          <w:highlight w:val="none"/>
          <w:lang w:val="en-US" w:eastAsia="zh-CN"/>
        </w:rPr>
        <w:t>行政</w:t>
      </w:r>
      <w:r>
        <w:rPr>
          <w:rFonts w:hint="eastAsia" w:ascii="仿宋_GB2312" w:hAnsi="仿宋"/>
          <w:color w:val="auto"/>
          <w:highlight w:val="none"/>
        </w:rPr>
        <w:t>执法人员城市管理法律、法规、标准和专业知识与执法能力培训，并适时组织考核。不具备相应知识和能力的，不得从事</w:t>
      </w:r>
      <w:r>
        <w:rPr>
          <w:rFonts w:hint="eastAsia" w:ascii="仿宋_GB2312" w:hAnsi="仿宋"/>
          <w:color w:val="auto"/>
          <w:highlight w:val="none"/>
          <w:lang w:val="en-US" w:eastAsia="zh-CN"/>
        </w:rPr>
        <w:t>行政</w:t>
      </w:r>
      <w:r>
        <w:rPr>
          <w:rFonts w:hint="eastAsia" w:ascii="仿宋_GB2312" w:hAnsi="仿宋"/>
          <w:color w:val="auto"/>
          <w:highlight w:val="none"/>
        </w:rPr>
        <w:t>执法工作。</w:t>
      </w:r>
    </w:p>
    <w:p w14:paraId="751F82BD">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highlight w:val="none"/>
        </w:rPr>
      </w:pPr>
      <w:r>
        <w:rPr>
          <w:rFonts w:hint="eastAsia" w:ascii="楷体_GB2312" w:hAnsi="楷体_GB2312" w:eastAsia="楷体_GB2312" w:cs="楷体_GB2312"/>
          <w:b/>
          <w:bCs/>
          <w:color w:val="auto"/>
          <w:highlight w:val="none"/>
        </w:rPr>
        <w:t>六、主要依据</w:t>
      </w:r>
    </w:p>
    <w:p w14:paraId="555A5A6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color w:val="auto"/>
          <w:szCs w:val="21"/>
          <w:highlight w:val="none"/>
        </w:rPr>
      </w:pPr>
      <w:r>
        <w:rPr>
          <w:rFonts w:hint="eastAsia" w:ascii="仿宋_GB2312"/>
          <w:color w:val="auto"/>
          <w:szCs w:val="21"/>
          <w:highlight w:val="none"/>
        </w:rPr>
        <w:t>国务院《城市市容和环境卫生管理条例》第二十二条</w:t>
      </w:r>
    </w:p>
    <w:p w14:paraId="6E274466">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eastAsia" w:ascii="仿宋_GB2312"/>
          <w:color w:val="auto"/>
          <w:szCs w:val="21"/>
          <w:highlight w:val="none"/>
          <w:lang w:val="en-US" w:eastAsia="zh-CN"/>
        </w:rPr>
        <w:t>安徽省《</w:t>
      </w:r>
      <w:r>
        <w:rPr>
          <w:rFonts w:hint="eastAsia" w:ascii="仿宋_GB2312"/>
          <w:color w:val="auto"/>
          <w:szCs w:val="21"/>
          <w:highlight w:val="none"/>
        </w:rPr>
        <w:t>安徽省城市市容和环境卫生管理条例</w:t>
      </w:r>
      <w:r>
        <w:rPr>
          <w:rFonts w:hint="eastAsia" w:ascii="仿宋_GB2312"/>
          <w:color w:val="auto"/>
          <w:szCs w:val="21"/>
          <w:highlight w:val="none"/>
          <w:lang w:val="en-US" w:eastAsia="zh-CN"/>
        </w:rPr>
        <w:t>》第三十七条第二款</w:t>
      </w:r>
    </w:p>
    <w:p w14:paraId="2884EF6B">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十、城镇污水排入排水管网许可事中事后监管细则</w:t>
      </w:r>
    </w:p>
    <w:p w14:paraId="79090A65">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（行政许可）</w:t>
      </w:r>
    </w:p>
    <w:p w14:paraId="2B064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一、监管任务</w:t>
      </w:r>
    </w:p>
    <w:p w14:paraId="2BF8A6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依照《排污许可管理条例》（中华人民共和国国务院令第736号）《排污许可管理办法（试行）》（环境保护部令第48号，</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生态环境</w:t>
      </w:r>
      <w:r>
        <w:rPr>
          <w:rFonts w:hint="eastAsia" w:ascii="仿宋_GB2312" w:hAnsi="仿宋_GB2312" w:cs="仿宋_GB2312"/>
          <w:i w:val="0"/>
          <w:iCs w:val="0"/>
          <w:caps w:val="0"/>
          <w:color w:val="auto"/>
          <w:spacing w:val="0"/>
          <w:sz w:val="32"/>
          <w:szCs w:val="32"/>
          <w:highlight w:val="none"/>
          <w:shd w:val="clear" w:fill="FFFFFF"/>
          <w:lang w:val="en-US" w:eastAsia="zh-CN"/>
        </w:rPr>
        <w:t>分</w:t>
      </w:r>
      <w:r>
        <w:rPr>
          <w:rFonts w:hint="eastAsia" w:ascii="仿宋_GB2312" w:hAnsi="仿宋_GB2312" w:eastAsia="仿宋_GB2312" w:cs="仿宋_GB2312"/>
          <w:i w:val="0"/>
          <w:iCs w:val="0"/>
          <w:caps w:val="0"/>
          <w:color w:val="auto"/>
          <w:spacing w:val="0"/>
          <w:sz w:val="32"/>
          <w:szCs w:val="32"/>
          <w:highlight w:val="none"/>
          <w:shd w:val="clear" w:fill="FFFFFF"/>
        </w:rPr>
        <w:t>局负责</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级权限内固定污染源排污许可发证及监督管理工作。对排污单位排放水污染物、大气污染物等各类污染物的排放行为实行综合许可管理。具体包括以下事项：</w:t>
      </w:r>
    </w:p>
    <w:p w14:paraId="69B69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审查固定污染源排污单位是否依法取得建设项目环境影响报告书（表）批准文件，或者已经办理环境影响登记表备案手续；污染物排放是否符合污染物排放标准要求，重点污染物排放是否符合排污许可证申请与核发技术规范、环境影响报告书（表）批准文件、重点污染物排放总量控制要求；排污单位生产经营场所位于未达到国家环境质量标准的重点区域、流域的，是否符合有关地方人民政府关于改善生态环境质量的特别要求；是否采用污染防治设施可以达到许可排放浓度要求或者符合污染防治可行技术；自行监测方案的监测点位、指标、频次等是否符合国家自行监测规范。</w:t>
      </w:r>
    </w:p>
    <w:p w14:paraId="54B079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二、事中监管</w:t>
      </w:r>
    </w:p>
    <w:p w14:paraId="31FFF2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纳入固定污染源排污许可分类管理名录的企业事业单位和其他生产经营者应当按照规定的时限申请并取得排污许可证。国家根据排放污染物的企业事业单位和其他生产经营者污染物产生量、排放量、对环境的影响程度等因素，实行排污许可重点管理、简化管理和登记管理。对污染物产生量、排放量或者对环境的影响程度较大的排污单位，实行排污许可重点管理;对污染物产生量、排放量和对环境的影响程度较小的排污单位，实行排污许可简化管理。对污染物产生量、排放量和对环境的影响程度很小的排污单位，实行排污登记管理。排污单位应当依法持有排污许可证，并按照排污许可证的规定排放污染物。应当取得排污许可证而未取得的，不得排放污染物。</w:t>
      </w:r>
    </w:p>
    <w:p w14:paraId="2E028F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1.材料审查</w:t>
      </w:r>
      <w:r>
        <w:rPr>
          <w:rFonts w:hint="eastAsia" w:ascii="仿宋_GB2312" w:hAnsi="仿宋_GB2312" w:eastAsia="仿宋_GB2312" w:cs="仿宋_GB2312"/>
          <w:i w:val="0"/>
          <w:iCs w:val="0"/>
          <w:caps w:val="0"/>
          <w:color w:val="auto"/>
          <w:spacing w:val="0"/>
          <w:sz w:val="32"/>
          <w:szCs w:val="32"/>
          <w:highlight w:val="none"/>
          <w:shd w:val="clear" w:fill="FFFFFF"/>
        </w:rPr>
        <w:t>：按照《排污许可管理条例》《排污许可管理办法（试行）》及排污许可证申请与核发技术规范，对排污单位申请材料的完整性、规范性进行审查。申请材料包括：</w:t>
      </w:r>
    </w:p>
    <w:p w14:paraId="1483B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⑴排污许可证申请表，主要内容包括：排污单位名称、住所、法定代表人或者主要负责人、生产经营场所所在地、统一社会信用代码等信息；建设项目环境影响报告书（表）批准文件或者环境影响登记表备案材料；按照污染物排放口、主要生产设施或者车间、厂界申请的污染物排放种类、排放浓度和排放量，执行的污染物排放标准和重点污染物排放总量控制指标；污染防治设施、污染物排放口位置和数量，污染物排放方式、排放去向、自行监测方案等信息；主要生产设施、主要产品及产能、主要原辅材料、产生和排放污染物环节等信息，及其是否涉及商业秘密等不宜公开情形的情况说明；⑵属于实行排污许可重点管理的，排污单位在提出申请前已通过全国排污许可证管理信息平台公开单位基本信息、拟申请许可事项的说明材料；⑶属于城镇和工业污水集中处理设施的，排污单位的纳污范围、管网布置、最终排放去向等说明材料；⑷属于排放重点污染物的新建、改建、扩建项目以及实施技术改造项目的，排污单位通过污染物排放量削减替代获得重点污染物排放总量控制指标的说明材料；(5)法律法规规章规定的其他材料。</w:t>
      </w:r>
    </w:p>
    <w:p w14:paraId="6ABB9B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2.公示</w:t>
      </w:r>
      <w:r>
        <w:rPr>
          <w:rFonts w:hint="eastAsia" w:ascii="仿宋_GB2312" w:hAnsi="仿宋_GB2312" w:eastAsia="仿宋_GB2312" w:cs="仿宋_GB2312"/>
          <w:i w:val="0"/>
          <w:iCs w:val="0"/>
          <w:caps w:val="0"/>
          <w:color w:val="auto"/>
          <w:spacing w:val="0"/>
          <w:sz w:val="32"/>
          <w:szCs w:val="32"/>
          <w:highlight w:val="none"/>
          <w:shd w:val="clear" w:fill="FFFFFF"/>
        </w:rPr>
        <w:t>：实行重点管理的排污单位在提交排污许可申请材料前，应当将承诺书、基本信息以及拟申请的许可事项向社会公开。公开途径应当选择包括全国排污许可证管理信息平台等便于公众知晓的方式，公开时间不得少于五个工作日。</w:t>
      </w:r>
    </w:p>
    <w:p w14:paraId="325BC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3.核实审查</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生态环境</w:t>
      </w:r>
      <w:r>
        <w:rPr>
          <w:rFonts w:hint="eastAsia" w:ascii="仿宋_GB2312" w:hAnsi="仿宋_GB2312" w:cs="仿宋_GB2312"/>
          <w:i w:val="0"/>
          <w:iCs w:val="0"/>
          <w:caps w:val="0"/>
          <w:color w:val="auto"/>
          <w:spacing w:val="0"/>
          <w:sz w:val="32"/>
          <w:szCs w:val="32"/>
          <w:highlight w:val="none"/>
          <w:shd w:val="clear" w:fill="FFFFFF"/>
          <w:lang w:val="en-US" w:eastAsia="zh-CN"/>
        </w:rPr>
        <w:t>分</w:t>
      </w:r>
      <w:r>
        <w:rPr>
          <w:rFonts w:hint="eastAsia" w:ascii="仿宋_GB2312" w:hAnsi="仿宋_GB2312" w:eastAsia="仿宋_GB2312" w:cs="仿宋_GB2312"/>
          <w:i w:val="0"/>
          <w:iCs w:val="0"/>
          <w:caps w:val="0"/>
          <w:color w:val="auto"/>
          <w:spacing w:val="0"/>
          <w:sz w:val="32"/>
          <w:szCs w:val="32"/>
          <w:highlight w:val="none"/>
          <w:shd w:val="clear" w:fill="FFFFFF"/>
        </w:rPr>
        <w:t>局各相应科室、下属二级机构（或委托第三方咨询机构）对材料的内容进行核实审查，进行现场执法、督查整改落实，行政审批科汇总排污单位有关情况提请局长办公会研究后确定发证许可。</w:t>
      </w:r>
    </w:p>
    <w:p w14:paraId="33F803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三、事后监管</w:t>
      </w:r>
    </w:p>
    <w:p w14:paraId="6E9FCD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1.许可结果公开</w:t>
      </w:r>
      <w:r>
        <w:rPr>
          <w:rFonts w:hint="eastAsia" w:ascii="仿宋_GB2312" w:hAnsi="仿宋_GB2312" w:eastAsia="仿宋_GB2312" w:cs="仿宋_GB2312"/>
          <w:b/>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按信息公开的相关要求，作出准予许可决定的，将排污许可证正本以及副本中基本信息、许可事项及承诺书在全国排污许可证管理信息平台上进行公告。（按规定需要保密的除外）。</w:t>
      </w:r>
    </w:p>
    <w:p w14:paraId="368D86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2.落实属地监管责任</w:t>
      </w:r>
      <w:r>
        <w:rPr>
          <w:rFonts w:hint="eastAsia" w:ascii="仿宋_GB2312" w:hAnsi="仿宋_GB2312" w:eastAsia="仿宋_GB2312" w:cs="仿宋_GB2312"/>
          <w:b/>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结合“双随机、一公开”监管，持续开展已核发行业排污许可证执法现场检查。对排污单位的监督检查，重点检查排污许可证规定的许可事项的实施情况。通过执法监测、检查台账记录和自动监测数据以及其他监控手段，核实排污数据和执行报告的真实性，判断是否符合许可排放浓度和许可排放量，检查环境管理要求落实情况。坚持“依证监管”常态化，严厉打击无证排污行为。对日常发现的无证排污单位要加大监管处罚力度，扎实推进固定源排污单位排污许可证“应发尽发”。</w:t>
      </w:r>
    </w:p>
    <w:p w14:paraId="2E3B4E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四、责任追溯</w:t>
      </w:r>
    </w:p>
    <w:p w14:paraId="005AE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（一）加强层级监督。</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生态环境</w:t>
      </w:r>
      <w:r>
        <w:rPr>
          <w:rFonts w:hint="eastAsia" w:ascii="仿宋_GB2312" w:hAnsi="仿宋_GB2312" w:cs="仿宋_GB2312"/>
          <w:i w:val="0"/>
          <w:iCs w:val="0"/>
          <w:caps w:val="0"/>
          <w:color w:val="auto"/>
          <w:spacing w:val="0"/>
          <w:sz w:val="32"/>
          <w:szCs w:val="32"/>
          <w:highlight w:val="none"/>
          <w:shd w:val="clear" w:fill="FFFFFF"/>
          <w:lang w:val="en-US" w:eastAsia="zh-CN"/>
        </w:rPr>
        <w:t>分</w:t>
      </w:r>
      <w:r>
        <w:rPr>
          <w:rFonts w:hint="eastAsia" w:ascii="仿宋_GB2312" w:hAnsi="仿宋_GB2312" w:eastAsia="仿宋_GB2312" w:cs="仿宋_GB2312"/>
          <w:i w:val="0"/>
          <w:iCs w:val="0"/>
          <w:caps w:val="0"/>
          <w:color w:val="auto"/>
          <w:spacing w:val="0"/>
          <w:sz w:val="32"/>
          <w:szCs w:val="32"/>
          <w:highlight w:val="none"/>
          <w:shd w:val="clear" w:fill="FFFFFF"/>
        </w:rPr>
        <w:t>局对全</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生态环境部门是否履行监管责任进行监督问责；对日常监管中发现的问题是否依法处理，是否存在不作为、乱作为等进行监督问责；对上级机关交办的案件是否认真调查并按时报告调查结果进行监督问责。</w:t>
      </w:r>
    </w:p>
    <w:p w14:paraId="735BCB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（二）加强人员监督。</w:t>
      </w:r>
      <w:r>
        <w:rPr>
          <w:rFonts w:hint="eastAsia" w:ascii="仿宋_GB2312" w:hAnsi="仿宋_GB2312" w:eastAsia="仿宋_GB2312" w:cs="仿宋_GB2312"/>
          <w:i w:val="0"/>
          <w:iCs w:val="0"/>
          <w:caps w:val="0"/>
          <w:color w:val="auto"/>
          <w:spacing w:val="0"/>
          <w:sz w:val="32"/>
          <w:szCs w:val="32"/>
          <w:highlight w:val="none"/>
          <w:shd w:val="clear" w:fill="FFFFFF"/>
        </w:rPr>
        <w:t>对在排污许可证受理、核发及监管执法中有符合受理条件但未依法受理申请的、对符合许可条件的不依法准予核发排污许可证或者未在法定时限内作出准予核发排污许可证决定的、对不符合许可条件的准予核发排污许可证或者超越法定职权核发排污许可证的、实施排污许可证管理时擅自收取费用的、未依法公开排污许可相关信息的、不依法履行监督职责或者监督不力，造成严重后果的、其他应当依法追究责任的情形之一的，对直接负责的主管人员和其他直接责任人员依法给予处分，构成犯罪的，依法追究刑事责任。</w:t>
      </w:r>
    </w:p>
    <w:p w14:paraId="293DB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（三）建立责任追究机制。</w:t>
      </w:r>
      <w:r>
        <w:rPr>
          <w:rFonts w:hint="eastAsia" w:ascii="仿宋_GB2312" w:hAnsi="仿宋_GB2312" w:eastAsia="仿宋_GB2312" w:cs="仿宋_GB2312"/>
          <w:i w:val="0"/>
          <w:iCs w:val="0"/>
          <w:caps w:val="0"/>
          <w:color w:val="auto"/>
          <w:spacing w:val="0"/>
          <w:sz w:val="32"/>
          <w:szCs w:val="32"/>
          <w:highlight w:val="none"/>
          <w:shd w:val="clear" w:fill="FFFFFF"/>
        </w:rPr>
        <w:t>监管责任追究实行过错责任追究，根据过错责任的大小实施相应的追究方式。包括：责令改正、责令作出书面检查、给予通报批评、调离工作岗位、停职、给予行政处分、没收和追缴违法违纪所得；构成犯罪的，依法追究刑事责任。</w:t>
      </w:r>
    </w:p>
    <w:p w14:paraId="661E5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五、保障措施</w:t>
      </w:r>
    </w:p>
    <w:p w14:paraId="6AAA8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在固定污染源排污许可权力运行中，国家工作人员不得索取或者收受任何财物和谋取其他利益。对不履行法定职责、超越或者滥用法定职权的国家工作人员，依据有关法律法规和《安徽省政府权力运行监督管理办法》，追究相关机构、责任人相应责任。</w:t>
      </w:r>
    </w:p>
    <w:p w14:paraId="2FCF1D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六、主要依据</w:t>
      </w:r>
    </w:p>
    <w:p w14:paraId="3A4E7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1.《国务院办公厅关于印发控制污染物排放许可制实施方案的通知》（国办发〔2016〕81号）</w:t>
      </w:r>
    </w:p>
    <w:p w14:paraId="40C2DE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2.《排污许可管理条例》（中华人民共和国国务院令第736号）</w:t>
      </w:r>
    </w:p>
    <w:p w14:paraId="548E2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3.《排污许可管理办法（试行）》（环境保护部令第48号）</w:t>
      </w:r>
    </w:p>
    <w:p w14:paraId="74C20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right="0" w:firstLine="960" w:firstLineChars="3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4.《中华人民共和国行政处罚法》（中华人民共和国主席令第七十号）</w:t>
      </w:r>
    </w:p>
    <w:p w14:paraId="17D23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5.《环境行政处罚办法》（环境保护部令第8号）</w:t>
      </w:r>
    </w:p>
    <w:p w14:paraId="1A1302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6.《环境保护违法违纪行为处分暂行规定》（监察部、原国家环保总局令第10号）</w:t>
      </w:r>
    </w:p>
    <w:p w14:paraId="3C163F7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1CCD3B94">
      <w:pPr>
        <w:keepNext w:val="0"/>
        <w:keepLines w:val="0"/>
        <w:pageBreakBefore w:val="0"/>
        <w:numPr>
          <w:ilvl w:val="0"/>
          <w:numId w:val="1"/>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拆除、改动城镇排水与污水处理设施审核</w:t>
      </w:r>
    </w:p>
    <w:p w14:paraId="0A3610DE">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事中事后监管细则</w:t>
      </w:r>
    </w:p>
    <w:p w14:paraId="32AFE14F">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（行政许可）</w:t>
      </w:r>
    </w:p>
    <w:p w14:paraId="28CED3B3">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p>
    <w:p w14:paraId="48438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一、设定依据具体条款及内容</w:t>
      </w:r>
    </w:p>
    <w:p w14:paraId="307C6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城镇排水与污水处理条例》第四十三条第四款：因工程建设需要拆除、改动城镇排水与污水处理设施的，建设单位应当制定拆除、改动方案，报城镇排水主管部门审核，并承担重建、改建和采取临时措施的费用。</w:t>
      </w:r>
    </w:p>
    <w:p w14:paraId="523490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2.《城市供水条例》第三十条：因工程建设确需改装、拆除或者迁移城市公共供水设施的，建设单位应当报经县级以上人民政府城市规划行政主管部门和城市供水行政主管部门批准，并采取相应的补救措施。</w:t>
      </w:r>
    </w:p>
    <w:p w14:paraId="305476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安徽省人民政府关于清理规范投资项目报建审批事项的通知》（皖政〔2017〕19号）：将“因工程建设确需改装、拆除或者迁移城市公共供水设施审批”“拆除、移动城镇排水与污水处理设施方案审核”2项，合并为“因工程建设需要拆除、改动、迁移供水、排水与污水处理设施审核”1项”。</w:t>
      </w:r>
    </w:p>
    <w:p w14:paraId="1BDCE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二、受理条件</w:t>
      </w:r>
    </w:p>
    <w:p w14:paraId="3BF90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1.属本单位管辖区域内；2.因工程建设需要拆除、改动城镇排水与污水处理设施的，建设单位应当制定拆除、改动方案，报城镇排水主管部门审核，并承担重建、改建和采取临时措施的费用。</w:t>
      </w:r>
    </w:p>
    <w:p w14:paraId="140F5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三、申请材料</w:t>
      </w:r>
    </w:p>
    <w:p w14:paraId="4E4EC7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w:t>
      </w:r>
    </w:p>
    <w:p w14:paraId="3BD7D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2.施工方案；</w:t>
      </w:r>
    </w:p>
    <w:p w14:paraId="2F4A4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3.营业执照（核验）</w:t>
      </w:r>
    </w:p>
    <w:p w14:paraId="51CE3D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四、办理流程</w:t>
      </w:r>
    </w:p>
    <w:p w14:paraId="698C1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1.受理；</w:t>
      </w:r>
    </w:p>
    <w:p w14:paraId="33E13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2.承办；</w:t>
      </w:r>
    </w:p>
    <w:p w14:paraId="760519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3.办结。</w:t>
      </w:r>
    </w:p>
    <w:p w14:paraId="10F11E52">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仿宋" w:hAnsi="仿宋" w:eastAsia="仿宋" w:cs="仿宋"/>
          <w:color w:val="auto"/>
          <w:sz w:val="32"/>
          <w:szCs w:val="32"/>
          <w:highlight w:val="none"/>
          <w:lang w:val="en-US" w:eastAsia="zh-CN"/>
        </w:rPr>
      </w:pPr>
    </w:p>
    <w:p w14:paraId="74C7AC35">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仿宋" w:hAnsi="仿宋" w:eastAsia="仿宋" w:cs="仿宋"/>
          <w:color w:val="auto"/>
          <w:sz w:val="32"/>
          <w:szCs w:val="32"/>
          <w:highlight w:val="none"/>
          <w:lang w:val="en-US" w:eastAsia="zh-CN"/>
        </w:rPr>
      </w:pPr>
    </w:p>
    <w:p w14:paraId="13BF98EF">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仿宋" w:hAnsi="仿宋" w:eastAsia="仿宋" w:cs="仿宋"/>
          <w:color w:val="auto"/>
          <w:sz w:val="32"/>
          <w:szCs w:val="32"/>
          <w:highlight w:val="none"/>
          <w:lang w:val="en-US" w:eastAsia="zh-CN"/>
        </w:rPr>
      </w:pPr>
    </w:p>
    <w:p w14:paraId="5133BAD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71F6989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1739BE9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030F0F0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2A97659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7D96576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249B94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3204B80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1C0C5AA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3246319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 w:val="0"/>
          <w:bCs w:val="0"/>
          <w:color w:val="auto"/>
          <w:sz w:val="32"/>
          <w:szCs w:val="32"/>
          <w:highlight w:val="none"/>
          <w:lang w:eastAsia="zh-CN"/>
        </w:rPr>
      </w:pPr>
    </w:p>
    <w:p w14:paraId="36312E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十二、</w:t>
      </w:r>
      <w:r>
        <w:rPr>
          <w:rFonts w:hint="default" w:ascii="Times New Roman" w:hAnsi="Times New Roman" w:eastAsia="黑体" w:cs="Times New Roman"/>
          <w:b w:val="0"/>
          <w:bCs w:val="0"/>
          <w:color w:val="auto"/>
          <w:sz w:val="32"/>
          <w:szCs w:val="32"/>
          <w:highlight w:val="none"/>
        </w:rPr>
        <w:t>农村集体经济组织统一经营的林权流转给本集体经济组织以外的单位和个人的流转方案批准事中事后监管细则</w:t>
      </w:r>
    </w:p>
    <w:p w14:paraId="42B19F10">
      <w:pPr>
        <w:keepNext w:val="0"/>
        <w:keepLines w:val="0"/>
        <w:pageBreakBefore w:val="0"/>
        <w:kinsoku/>
        <w:wordWrap/>
        <w:overflowPunct/>
        <w:topLinePunct w:val="0"/>
        <w:bidi w:val="0"/>
        <w:snapToGrid/>
        <w:spacing w:beforeAutospacing="0" w:afterAutospacing="0" w:line="56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行政许可</w:t>
      </w:r>
      <w:r>
        <w:rPr>
          <w:rFonts w:hint="default" w:ascii="Times New Roman" w:hAnsi="Times New Roman" w:eastAsia="黑体" w:cs="Times New Roman"/>
          <w:b w:val="0"/>
          <w:bCs w:val="0"/>
          <w:color w:val="auto"/>
          <w:sz w:val="32"/>
          <w:szCs w:val="32"/>
          <w:highlight w:val="none"/>
        </w:rPr>
        <w:t>）</w:t>
      </w:r>
    </w:p>
    <w:p w14:paraId="3A87F7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规范农村集体经济组织统一经营的林权流转给本集体经济组织以外的单位和个人行为，保护林权权利人的合法权益，促进森林资源开发利用和林业可持续发展，提高林业生态效益、经济效益和社会效益。根据《中华人民共和国森林法》《安徽省林权管理条例》和《安徽省政府权力运行监督管理办法》及相关法律法规，结合</w:t>
      </w:r>
      <w:r>
        <w:rPr>
          <w:rFonts w:hint="default"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rPr>
        <w:t>实际，制定本监管细则。</w:t>
      </w:r>
    </w:p>
    <w:p w14:paraId="295833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本细则对应</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cs="Times New Roman"/>
          <w:color w:val="auto"/>
          <w:sz w:val="32"/>
          <w:szCs w:val="32"/>
          <w:highlight w:val="none"/>
          <w:lang w:val="en-US" w:eastAsia="zh-CN"/>
        </w:rPr>
        <w:t>屯溪区镇（街道）审批事项清单</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cs="Times New Roman"/>
          <w:color w:val="auto"/>
          <w:sz w:val="32"/>
          <w:szCs w:val="32"/>
          <w:highlight w:val="none"/>
          <w:lang w:val="zh-CN" w:eastAsia="zh-CN"/>
        </w:rPr>
        <w:t>行政许可类</w:t>
      </w:r>
      <w:r>
        <w:rPr>
          <w:rFonts w:hint="default" w:ascii="Times New Roman" w:hAnsi="Times New Roman" w:eastAsia="仿宋_GB2312" w:cs="Times New Roman"/>
          <w:color w:val="auto"/>
          <w:sz w:val="32"/>
          <w:szCs w:val="32"/>
          <w:highlight w:val="none"/>
          <w:lang w:val="zh-CN"/>
        </w:rPr>
        <w:t>第</w:t>
      </w:r>
      <w:r>
        <w:rPr>
          <w:rFonts w:hint="default"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zh-CN"/>
        </w:rPr>
        <w:t>项，项目名称：农农村集体经济组织统一经营的林权流转给本集体经济组织以外的单位和个人的流转方案批准。</w:t>
      </w:r>
    </w:p>
    <w:p w14:paraId="7943AD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一、监管任务</w:t>
      </w:r>
    </w:p>
    <w:p w14:paraId="71D626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乡镇人民</w:t>
      </w:r>
      <w:r>
        <w:rPr>
          <w:rFonts w:hint="default" w:ascii="Times New Roman" w:hAnsi="Times New Roman" w:eastAsia="仿宋_GB2312" w:cs="Times New Roman"/>
          <w:color w:val="auto"/>
          <w:sz w:val="32"/>
          <w:szCs w:val="32"/>
          <w:highlight w:val="none"/>
        </w:rPr>
        <w:t>政府依照相关法律、法规、规章等规定，审查决定是否对辖区内农村集体经济组织统一经营的林权流转给本集体经济组织以外的单位和个人的流转方案予以批准，并督促流转双方按照法定程序完成流转手续、严格落实森林资源保护的责任。</w:t>
      </w:r>
    </w:p>
    <w:p w14:paraId="4FA69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二、监管措施</w:t>
      </w:r>
    </w:p>
    <w:p w14:paraId="5AFF7F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农村集体经济组织统一经营的林权流转给本集体经济组织以外的单位和个人要履行报审手续，</w:t>
      </w:r>
      <w:r>
        <w:rPr>
          <w:rFonts w:hint="default" w:ascii="Times New Roman" w:hAnsi="Times New Roman" w:eastAsia="仿宋_GB2312" w:cs="Times New Roman"/>
          <w:color w:val="auto"/>
          <w:sz w:val="32"/>
          <w:szCs w:val="32"/>
          <w:highlight w:val="none"/>
          <w:lang w:eastAsia="zh-CN"/>
        </w:rPr>
        <w:t>乡镇人民</w:t>
      </w:r>
      <w:r>
        <w:rPr>
          <w:rFonts w:hint="default" w:ascii="Times New Roman" w:hAnsi="Times New Roman" w:eastAsia="仿宋_GB2312" w:cs="Times New Roman"/>
          <w:color w:val="auto"/>
          <w:sz w:val="32"/>
          <w:szCs w:val="32"/>
          <w:highlight w:val="none"/>
        </w:rPr>
        <w:t>政府依法对办件申请及相关材料进行审核。</w:t>
      </w:r>
    </w:p>
    <w:p w14:paraId="0885D3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（一）材料报审</w:t>
      </w:r>
    </w:p>
    <w:p w14:paraId="10C267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乡镇人民</w:t>
      </w:r>
      <w:r>
        <w:rPr>
          <w:rFonts w:hint="default" w:ascii="Times New Roman" w:hAnsi="Times New Roman" w:eastAsia="仿宋_GB2312" w:cs="Times New Roman"/>
          <w:color w:val="auto"/>
          <w:sz w:val="32"/>
          <w:szCs w:val="32"/>
          <w:highlight w:val="none"/>
        </w:rPr>
        <w:t>政府及相关主管部门向社会公开农村集体经济组织统一经营的林权流转给本集体经济组织以外的单位和个人送审需要报送的材料。不属于本行政区域管辖范围内或不属于本行政机关职权范围的不予受理，出具《不予受理通知书》。申请材料存在可以当场更正的错误的，允许申请人当场更正，申请材料不齐全或不符合法定形式的，出具《申请材料补正告知书》。审查相关材料，申请材料齐全、符合法定形式的，窗口工作人员当场予以办理，并出具《受理通知书》。经</w:t>
      </w:r>
      <w:r>
        <w:rPr>
          <w:rFonts w:hint="default" w:ascii="Times New Roman" w:hAnsi="Times New Roman" w:eastAsia="仿宋_GB2312" w:cs="Times New Roman"/>
          <w:color w:val="auto"/>
          <w:sz w:val="32"/>
          <w:szCs w:val="32"/>
          <w:highlight w:val="none"/>
          <w:lang w:eastAsia="zh-CN"/>
        </w:rPr>
        <w:t>乡镇人民</w:t>
      </w:r>
      <w:r>
        <w:rPr>
          <w:rFonts w:hint="default" w:ascii="Times New Roman" w:hAnsi="Times New Roman" w:eastAsia="仿宋_GB2312" w:cs="Times New Roman"/>
          <w:color w:val="auto"/>
          <w:sz w:val="32"/>
          <w:szCs w:val="32"/>
          <w:highlight w:val="none"/>
        </w:rPr>
        <w:t>政府审核后，</w:t>
      </w:r>
      <w:r>
        <w:rPr>
          <w:rFonts w:hint="default" w:ascii="Times New Roman" w:hAnsi="Times New Roman" w:eastAsia="仿宋_GB2312" w:cs="Times New Roman"/>
          <w:color w:val="auto"/>
          <w:spacing w:val="-6"/>
          <w:sz w:val="32"/>
          <w:szCs w:val="32"/>
          <w:highlight w:val="none"/>
        </w:rPr>
        <w:t>材料审核办理人员必须及时做好相关申办材料的登记。</w:t>
      </w:r>
    </w:p>
    <w:p w14:paraId="0EEEE1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（二）监督检查</w:t>
      </w:r>
    </w:p>
    <w:p w14:paraId="146195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1.监督检查内容：</w:t>
      </w:r>
    </w:p>
    <w:p w14:paraId="23256F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（1）是否公示依法应当提交的材料；</w:t>
      </w:r>
    </w:p>
    <w:p w14:paraId="062857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（2）在受理过程中，是否存在对符合条件的申请不予受理，不说明原因及依据；对不符合条件的予以受理；不一次性告知所需申报材料及要求。</w:t>
      </w:r>
    </w:p>
    <w:p w14:paraId="2FC460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（3）是否依法对申报材料进行审核，提出初审意见。</w:t>
      </w:r>
    </w:p>
    <w:p w14:paraId="309791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（4）是否按照程序履行决定职责，作出许可或不予许可的决定（不予许可的书面告知理由），能否按时办结，法定告知。</w:t>
      </w:r>
    </w:p>
    <w:p w14:paraId="4A2400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（5）是否按要求加强林权流转的事后监管、及时将审批表报</w:t>
      </w:r>
      <w:r>
        <w:rPr>
          <w:rFonts w:hint="eastAsia"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相关部门备案。</w:t>
      </w:r>
    </w:p>
    <w:p w14:paraId="11D093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（6）是否正确履行其他法律法规规章文件规定的责任。</w:t>
      </w:r>
    </w:p>
    <w:p w14:paraId="269E1B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2.监督检查方式：日常检查、重点抽查、举报核查。</w:t>
      </w:r>
    </w:p>
    <w:p w14:paraId="0395E8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监督检查处理：对于相关工作人员不履行相关法律法规赋予的管理职责，依法给予行政处分；构成犯罪的，依法追究刑事责任。违反相关规定的将林权流转给本集体经济组织以外的单位和个人，协同有关部门坚决予以查处和撤销。违反治安管理行为的，依照《中华人民共和国治安管理处罚法》予以处罚；构成犯罪的，依法追究刑事责任。</w:t>
      </w:r>
    </w:p>
    <w:p w14:paraId="4389FA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（三）协同监管</w:t>
      </w:r>
    </w:p>
    <w:p w14:paraId="590D0D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镇政府、林业、农经等有关行政主管部门协同合作，加强对林权流转的审核监管，重点查处林权的违规或私自向本集体经济组织以外的个人或组织流转、违规使用林地。严肃查处违反相关规定，不履行相应管理职责的相关工作人员，视情节严重，依法给予处分或追究法律责任。</w:t>
      </w:r>
    </w:p>
    <w:p w14:paraId="611924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（四）信用监管</w:t>
      </w:r>
    </w:p>
    <w:p w14:paraId="333BB0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对隐瞒有关情况、提供虚假材料申请以及以欺骗、贿赂等不正当手段通过申请，擅自将林权流转给本集体经济组织以外的单位和个人且造成严重后果的，镇政府撤销批准决定并报上级备案。</w:t>
      </w:r>
    </w:p>
    <w:p w14:paraId="2737BC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三、责任追究</w:t>
      </w:r>
    </w:p>
    <w:p w14:paraId="2CB326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因不履行或不正确履行行政职责，有下列情形的，相关工作人员应承担相应责任：</w:t>
      </w:r>
    </w:p>
    <w:p w14:paraId="4D5A5C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（一）对符合法定条件的申请不予受理、许可的；</w:t>
      </w:r>
    </w:p>
    <w:p w14:paraId="7E1DB6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（二）对不符合有关法律法规的予以核准的；</w:t>
      </w:r>
    </w:p>
    <w:p w14:paraId="2E9F61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（三）擅自增设、变更涉及核准程序或核准条件的；</w:t>
      </w:r>
    </w:p>
    <w:p w14:paraId="0F3A7E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（四）收受贿赂、获取其他利益，或者为他人谋取不正当利益提供方便的；</w:t>
      </w:r>
    </w:p>
    <w:p w14:paraId="290978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（五）其他违反法律法规规章文件规定的行为。</w:t>
      </w:r>
    </w:p>
    <w:p w14:paraId="1D0066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四、保障措施</w:t>
      </w:r>
    </w:p>
    <w:p w14:paraId="066FE0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（一）程序公开。</w:t>
      </w:r>
      <w:r>
        <w:rPr>
          <w:rFonts w:hint="default" w:ascii="Times New Roman" w:hAnsi="Times New Roman" w:eastAsia="仿宋_GB2312" w:cs="Times New Roman"/>
          <w:color w:val="auto"/>
          <w:sz w:val="32"/>
          <w:szCs w:val="32"/>
          <w:highlight w:val="none"/>
        </w:rPr>
        <w:t>在网站及政务窗口公开所有事项办理的依据、条件、程序、时限、申报资料要求等相关信息，办理过程和结果及时公开，定期通报办理结果。</w:t>
      </w:r>
    </w:p>
    <w:p w14:paraId="39759D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（二）落实制度。</w:t>
      </w:r>
      <w:r>
        <w:rPr>
          <w:rFonts w:hint="default" w:ascii="Times New Roman" w:hAnsi="Times New Roman" w:eastAsia="仿宋_GB2312" w:cs="Times New Roman"/>
          <w:color w:val="auto"/>
          <w:sz w:val="32"/>
          <w:szCs w:val="32"/>
          <w:highlight w:val="none"/>
        </w:rPr>
        <w:t>严格执行政务服务制度，执行好首问负责、一次性告知、限时督办等要求。严格依法办事，落实廉洁自律有关规定，规范操作程序。进一步完善监管措施，畅通举报渠道，</w:t>
      </w:r>
      <w:r>
        <w:rPr>
          <w:rFonts w:hint="default" w:ascii="Times New Roman" w:hAnsi="Times New Roman" w:eastAsia="仿宋_GB2312" w:cs="Times New Roman"/>
          <w:color w:val="auto"/>
          <w:sz w:val="32"/>
          <w:szCs w:val="32"/>
          <w:highlight w:val="none"/>
          <w:lang w:eastAsia="zh-CN"/>
        </w:rPr>
        <w:t>严肃查处</w:t>
      </w:r>
      <w:r>
        <w:rPr>
          <w:rFonts w:hint="default" w:ascii="Times New Roman" w:hAnsi="Times New Roman" w:eastAsia="仿宋_GB2312" w:cs="Times New Roman"/>
          <w:color w:val="auto"/>
          <w:sz w:val="32"/>
          <w:szCs w:val="32"/>
          <w:highlight w:val="none"/>
        </w:rPr>
        <w:t>工作中存在的各种问题。</w:t>
      </w:r>
    </w:p>
    <w:p w14:paraId="52DEF0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（三）加强业务人员的培训，</w:t>
      </w:r>
      <w:r>
        <w:rPr>
          <w:rFonts w:hint="default" w:ascii="Times New Roman" w:hAnsi="Times New Roman" w:eastAsia="仿宋_GB2312" w:cs="Times New Roman"/>
          <w:color w:val="auto"/>
          <w:sz w:val="32"/>
          <w:szCs w:val="32"/>
          <w:highlight w:val="none"/>
        </w:rPr>
        <w:t>强化服务意识，提升办事能力水平。对责任心不强、业务工作不精、缺乏法律意识人员，不得从事农村集体经济组织统一经营的林权流转给本集体经济组织以外的单位和个人的审核工作</w:t>
      </w:r>
      <w:r>
        <w:rPr>
          <w:rFonts w:hint="default" w:ascii="Times New Roman" w:hAnsi="Times New Roman" w:eastAsia="仿宋_GB2312" w:cs="Times New Roman"/>
          <w:color w:val="auto"/>
          <w:sz w:val="32"/>
          <w:szCs w:val="32"/>
          <w:highlight w:val="none"/>
          <w:lang w:eastAsia="zh-CN"/>
        </w:rPr>
        <w:t>。</w:t>
      </w:r>
    </w:p>
    <w:p w14:paraId="1E8DD8FA">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28D31C83">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73AC3065">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7CE36D2B">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0A975D3C">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57BACF29">
      <w:pPr>
        <w:pStyle w:val="3"/>
        <w:keepNext w:val="0"/>
        <w:keepLines w:val="0"/>
        <w:pageBreakBefore w:val="0"/>
        <w:widowControl/>
        <w:kinsoku/>
        <w:wordWrap/>
        <w:overflowPunct/>
        <w:topLinePunct w:val="0"/>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highlight w:val="none"/>
          <w:lang w:bidi="ar"/>
        </w:rPr>
      </w:pPr>
    </w:p>
    <w:p w14:paraId="55603C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b w:val="0"/>
          <w:bCs/>
          <w:color w:val="auto"/>
          <w:sz w:val="32"/>
          <w:szCs w:val="32"/>
          <w:highlight w:val="none"/>
          <w:lang w:val="zh-CN"/>
        </w:rPr>
      </w:pPr>
      <w:r>
        <w:rPr>
          <w:rFonts w:hint="eastAsia" w:ascii="黑体" w:hAnsi="黑体" w:eastAsia="黑体" w:cs="黑体"/>
          <w:b w:val="0"/>
          <w:bCs/>
          <w:color w:val="auto"/>
          <w:sz w:val="32"/>
          <w:szCs w:val="32"/>
          <w:highlight w:val="none"/>
          <w:lang w:eastAsia="zh-CN"/>
        </w:rPr>
        <w:t>十三、林木采伐许可证核发</w:t>
      </w:r>
      <w:r>
        <w:rPr>
          <w:rFonts w:hint="eastAsia" w:ascii="黑体" w:hAnsi="黑体" w:eastAsia="黑体" w:cs="黑体"/>
          <w:b w:val="0"/>
          <w:bCs/>
          <w:color w:val="auto"/>
          <w:sz w:val="32"/>
          <w:szCs w:val="32"/>
          <w:highlight w:val="none"/>
          <w:lang w:val="zh-CN"/>
        </w:rPr>
        <w:t>事中事后监管细则</w:t>
      </w:r>
    </w:p>
    <w:p w14:paraId="3A1641F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val="zh-CN"/>
        </w:rPr>
        <w:t>行政</w:t>
      </w:r>
      <w:r>
        <w:rPr>
          <w:rFonts w:hint="eastAsia" w:ascii="黑体" w:hAnsi="黑体" w:eastAsia="黑体" w:cs="黑体"/>
          <w:color w:val="auto"/>
          <w:kern w:val="0"/>
          <w:sz w:val="32"/>
          <w:szCs w:val="32"/>
          <w:highlight w:val="none"/>
          <w:lang w:val="zh-CN" w:eastAsia="zh-CN"/>
        </w:rPr>
        <w:t>许可</w:t>
      </w:r>
      <w:r>
        <w:rPr>
          <w:rFonts w:hint="eastAsia" w:ascii="黑体" w:hAnsi="黑体" w:eastAsia="黑体" w:cs="黑体"/>
          <w:color w:val="auto"/>
          <w:sz w:val="32"/>
          <w:szCs w:val="32"/>
          <w:highlight w:val="none"/>
        </w:rPr>
        <w:t>）</w:t>
      </w:r>
    </w:p>
    <w:p w14:paraId="4B3821CC">
      <w:pPr>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为深入推进简政放权、放管结合、优化服务，强化政府权力运行监管，加强</w:t>
      </w:r>
      <w:r>
        <w:rPr>
          <w:rFonts w:hint="eastAsia" w:eastAsia="仿宋_GB2312" w:cs="Times New Roman"/>
          <w:color w:val="auto"/>
          <w:kern w:val="0"/>
          <w:sz w:val="32"/>
          <w:szCs w:val="32"/>
          <w:highlight w:val="none"/>
          <w:lang w:val="zh-CN"/>
        </w:rPr>
        <w:t>“</w:t>
      </w:r>
      <w:r>
        <w:rPr>
          <w:rFonts w:hint="default" w:ascii="Times New Roman" w:hAnsi="Times New Roman" w:eastAsia="仿宋_GB2312" w:cs="Times New Roman"/>
          <w:color w:val="auto"/>
          <w:kern w:val="0"/>
          <w:sz w:val="32"/>
          <w:szCs w:val="32"/>
          <w:highlight w:val="none"/>
          <w:lang w:val="zh-CN"/>
        </w:rPr>
        <w:t>林木的采伐许可证的审核发放</w:t>
      </w:r>
      <w:r>
        <w:rPr>
          <w:rFonts w:hint="eastAsia" w:eastAsia="仿宋_GB2312" w:cs="Times New Roman"/>
          <w:color w:val="auto"/>
          <w:kern w:val="0"/>
          <w:sz w:val="32"/>
          <w:szCs w:val="32"/>
          <w:highlight w:val="none"/>
          <w:lang w:val="zh-CN"/>
        </w:rPr>
        <w:t>”事项</w:t>
      </w:r>
      <w:r>
        <w:rPr>
          <w:rFonts w:hint="default" w:ascii="Times New Roman" w:hAnsi="Times New Roman" w:eastAsia="仿宋_GB2312" w:cs="Times New Roman"/>
          <w:color w:val="auto"/>
          <w:kern w:val="0"/>
          <w:sz w:val="32"/>
          <w:szCs w:val="32"/>
          <w:highlight w:val="none"/>
          <w:lang w:val="zh-CN"/>
        </w:rPr>
        <w:t>事中事后监管工作，根据有关法律法规和《安徽省政府权力运行监督管理办法》，林木的采伐许可证的审核发放工作实际，制定本监管细则。</w:t>
      </w:r>
    </w:p>
    <w:p w14:paraId="40C431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zh-CN"/>
        </w:rPr>
      </w:pPr>
      <w:r>
        <w:rPr>
          <w:rFonts w:hint="eastAsia" w:ascii="仿宋_GB2312" w:hAnsi="Times New Roman" w:eastAsia="仿宋_GB2312" w:cs="Times New Roman"/>
          <w:color w:val="auto"/>
          <w:sz w:val="32"/>
          <w:szCs w:val="32"/>
          <w:highlight w:val="none"/>
          <w:lang w:val="zh-CN"/>
        </w:rPr>
        <w:t>本细则对应</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en-US" w:eastAsia="zh-CN"/>
        </w:rPr>
        <w:t>屯溪区镇（街道）审批事项清单</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zh-CN" w:eastAsia="zh-CN"/>
        </w:rPr>
        <w:t>行政许可类</w:t>
      </w:r>
      <w:r>
        <w:rPr>
          <w:rFonts w:hint="eastAsia" w:ascii="仿宋_GB2312" w:hAnsi="Times New Roman" w:eastAsia="仿宋_GB2312" w:cs="Times New Roman"/>
          <w:color w:val="auto"/>
          <w:sz w:val="32"/>
          <w:szCs w:val="32"/>
          <w:highlight w:val="none"/>
          <w:lang w:val="zh-CN"/>
        </w:rPr>
        <w:t>第</w:t>
      </w:r>
      <w:r>
        <w:rPr>
          <w:rFonts w:hint="eastAsia" w:ascii="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lang w:val="zh-CN"/>
        </w:rPr>
        <w:t>项，项目名称：</w:t>
      </w:r>
      <w:r>
        <w:rPr>
          <w:rFonts w:hint="eastAsia" w:ascii="仿宋_GB2312" w:hAnsi="Times New Roman" w:eastAsia="仿宋_GB2312" w:cs="Times New Roman"/>
          <w:color w:val="auto"/>
          <w:sz w:val="32"/>
          <w:szCs w:val="32"/>
          <w:highlight w:val="none"/>
          <w:lang w:val="zh-CN" w:eastAsia="zh-CN"/>
        </w:rPr>
        <w:t>林木采伐许可证核发</w:t>
      </w:r>
      <w:r>
        <w:rPr>
          <w:rFonts w:hint="eastAsia" w:ascii="仿宋_GB2312" w:hAnsi="Times New Roman" w:eastAsia="仿宋_GB2312" w:cs="Times New Roman"/>
          <w:color w:val="auto"/>
          <w:sz w:val="32"/>
          <w:szCs w:val="32"/>
          <w:highlight w:val="none"/>
          <w:lang w:val="zh-CN"/>
        </w:rPr>
        <w:t>。</w:t>
      </w:r>
    </w:p>
    <w:p w14:paraId="09155747">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rPr>
        <w:t>一、监管任务</w:t>
      </w:r>
    </w:p>
    <w:p w14:paraId="7F026185">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hint="eastAsia" w:ascii="仿宋" w:hAnsi="仿宋" w:eastAsia="仿宋"/>
          <w:color w:val="auto"/>
          <w:sz w:val="32"/>
          <w:highlight w:val="none"/>
          <w:lang w:val="en-US" w:eastAsia="zh-CN"/>
        </w:rPr>
        <w:t>林业站</w:t>
      </w:r>
      <w:r>
        <w:rPr>
          <w:rFonts w:ascii="仿宋" w:hAnsi="仿宋" w:eastAsia="仿宋"/>
          <w:color w:val="auto"/>
          <w:sz w:val="32"/>
          <w:highlight w:val="none"/>
        </w:rPr>
        <w:t>依照法律、行政法规等规定，通过对</w:t>
      </w:r>
      <w:r>
        <w:rPr>
          <w:rFonts w:hint="eastAsia" w:ascii="仿宋" w:hAnsi="仿宋" w:eastAsia="仿宋"/>
          <w:color w:val="auto"/>
          <w:sz w:val="32"/>
          <w:highlight w:val="none"/>
          <w:lang w:eastAsia="zh-CN"/>
        </w:rPr>
        <w:t>林木采伐许可证办理</w:t>
      </w:r>
      <w:r>
        <w:rPr>
          <w:rFonts w:ascii="仿宋" w:hAnsi="仿宋" w:eastAsia="仿宋"/>
          <w:color w:val="auto"/>
          <w:sz w:val="32"/>
          <w:highlight w:val="none"/>
        </w:rPr>
        <w:t>采取监督检查、稽查执法等事中事后监管措施，规范林木采伐生产活动，纠正和查处违法违规行为，依法打击滥采滥伐林木行为，确保林木资源科学经营、有序利用。</w:t>
      </w:r>
    </w:p>
    <w:p w14:paraId="03C72BC8">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lang w:eastAsia="zh-CN"/>
        </w:rPr>
        <w:t>二、</w:t>
      </w:r>
      <w:r>
        <w:rPr>
          <w:rFonts w:hint="eastAsia" w:ascii="楷体_GB2312" w:hAnsi="楷体_GB2312" w:eastAsia="楷体_GB2312" w:cs="楷体_GB2312"/>
          <w:b/>
          <w:bCs/>
          <w:color w:val="auto"/>
          <w:sz w:val="32"/>
          <w:highlight w:val="none"/>
        </w:rPr>
        <w:t>事中监管</w:t>
      </w:r>
    </w:p>
    <w:p w14:paraId="07833678">
      <w:pPr>
        <w:keepNext w:val="0"/>
        <w:keepLines w:val="0"/>
        <w:pageBreakBefore w:val="0"/>
        <w:widowControl w:val="0"/>
        <w:numPr>
          <w:ilvl w:val="0"/>
          <w:numId w:val="0"/>
        </w:numPr>
        <w:kinsoku/>
        <w:wordWrap/>
        <w:overflowPunct/>
        <w:topLinePunct w:val="0"/>
        <w:autoSpaceDN w:val="0"/>
        <w:bidi w:val="0"/>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(一)监督检查对象</w:t>
      </w:r>
    </w:p>
    <w:p w14:paraId="376DF999">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hint="eastAsia" w:ascii="仿宋" w:hAnsi="仿宋" w:eastAsia="仿宋"/>
          <w:color w:val="auto"/>
          <w:sz w:val="32"/>
          <w:highlight w:val="none"/>
          <w:lang w:eastAsia="zh-CN"/>
        </w:rPr>
      </w:pPr>
      <w:r>
        <w:rPr>
          <w:rFonts w:ascii="仿宋" w:hAnsi="仿宋" w:eastAsia="仿宋"/>
          <w:color w:val="auto"/>
          <w:sz w:val="32"/>
          <w:highlight w:val="none"/>
        </w:rPr>
        <w:t>办理林木采伐的单位或个人</w:t>
      </w:r>
      <w:r>
        <w:rPr>
          <w:rFonts w:hint="eastAsia" w:ascii="仿宋" w:hAnsi="仿宋" w:eastAsia="仿宋"/>
          <w:color w:val="auto"/>
          <w:sz w:val="32"/>
          <w:highlight w:val="none"/>
          <w:lang w:eastAsia="zh-CN"/>
        </w:rPr>
        <w:t>。</w:t>
      </w:r>
    </w:p>
    <w:p w14:paraId="59282A5C">
      <w:pPr>
        <w:keepNext w:val="0"/>
        <w:keepLines w:val="0"/>
        <w:pageBreakBefore w:val="0"/>
        <w:widowControl w:val="0"/>
        <w:numPr>
          <w:ilvl w:val="0"/>
          <w:numId w:val="0"/>
        </w:numPr>
        <w:kinsoku/>
        <w:wordWrap/>
        <w:overflowPunct/>
        <w:topLinePunct w:val="0"/>
        <w:autoSpaceDN w:val="0"/>
        <w:bidi w:val="0"/>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（二）监督检查内容</w:t>
      </w:r>
    </w:p>
    <w:p w14:paraId="039E0C5A">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林木采伐的单位或个人是否按照《中华人民共和国森林法》、《中华人民共和国森林法实施条例》等相关法律、法规、规章的规定进行采伐。主要检查下列事项：</w:t>
      </w:r>
    </w:p>
    <w:p w14:paraId="636FEBAF">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1、是否存在少批多伐的行为。</w:t>
      </w:r>
    </w:p>
    <w:p w14:paraId="67C4C2D3">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2、是否存在超面积采伐的行为。</w:t>
      </w:r>
    </w:p>
    <w:p w14:paraId="2E6CDA90">
      <w:pPr>
        <w:keepNext w:val="0"/>
        <w:keepLines w:val="0"/>
        <w:pageBreakBefore w:val="0"/>
        <w:widowControl w:val="0"/>
        <w:numPr>
          <w:ilvl w:val="0"/>
          <w:numId w:val="0"/>
        </w:numPr>
        <w:kinsoku/>
        <w:wordWrap/>
        <w:overflowPunct/>
        <w:topLinePunct w:val="0"/>
        <w:autoSpaceDN w:val="0"/>
        <w:bidi w:val="0"/>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（三）监督检查程序</w:t>
      </w:r>
    </w:p>
    <w:p w14:paraId="76EAACDD">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1.制定监督检查方案。检查方案应包括日程安排、检查标准和检查内容、检查组成员及分工等。</w:t>
      </w:r>
    </w:p>
    <w:p w14:paraId="1D2324A9">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2.实施监督检查。检查人员应不少于2人，检查前争取当地政府配合，联合基层站所，要求被检查单位或个人说明情况，是否按许可证规定的地点、时限、数量、树种、方式，并按规定是否更新造林，并提供有关证件；检查人员到采伐现场进行监督，检查人员向被检查单位或个人出示有效行政执法证件，说明来意，告知其享有的合法权利和应当履行的法定义务后对采伐作业单位或个人实施检查，填写《林木采伐监管表》并交当事人确认签字。</w:t>
      </w:r>
    </w:p>
    <w:p w14:paraId="53FA59DE">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3.发现违法行为后依法处置。对有证据证明被检查单位或个人有超期采伐、超范围采伐等违法行为的，符合立案条件的进行立案，依法进行行政处罚。</w:t>
      </w:r>
    </w:p>
    <w:p w14:paraId="613D22BF">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4.按照法定程序和要求公布监管信息。</w:t>
      </w:r>
    </w:p>
    <w:p w14:paraId="5B8D168E">
      <w:pPr>
        <w:keepNext w:val="0"/>
        <w:keepLines w:val="0"/>
        <w:pageBreakBefore w:val="0"/>
        <w:widowControl w:val="0"/>
        <w:numPr>
          <w:ilvl w:val="0"/>
          <w:numId w:val="0"/>
        </w:numPr>
        <w:kinsoku/>
        <w:wordWrap/>
        <w:overflowPunct/>
        <w:topLinePunct w:val="0"/>
        <w:autoSpaceDN w:val="0"/>
        <w:bidi w:val="0"/>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（四）建立监管档案</w:t>
      </w:r>
    </w:p>
    <w:p w14:paraId="5F5CDF5B">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hint="eastAsia" w:ascii="仿宋" w:hAnsi="仿宋" w:eastAsia="仿宋"/>
          <w:color w:val="auto"/>
          <w:sz w:val="32"/>
          <w:highlight w:val="none"/>
          <w:lang w:val="en-US" w:eastAsia="zh-CN"/>
        </w:rPr>
        <w:t>区</w:t>
      </w:r>
      <w:r>
        <w:rPr>
          <w:rFonts w:ascii="仿宋" w:hAnsi="仿宋" w:eastAsia="仿宋"/>
          <w:color w:val="auto"/>
          <w:sz w:val="32"/>
          <w:highlight w:val="none"/>
        </w:rPr>
        <w:t>林业局建立本行政区域内办理林业采伐许可证的单位和个人监管档案。监管档案主要内容包括：1.《林木采伐申请表》；2.《中华人民共和国林权证》；3.采伐作业设计说明以及采伐作业设计表；4.采伐作业计划指标批准文件；5.因特殊采伐需要的其他证明材料。</w:t>
      </w:r>
    </w:p>
    <w:p w14:paraId="04C2889D">
      <w:pPr>
        <w:keepNext w:val="0"/>
        <w:keepLines w:val="0"/>
        <w:pageBreakBefore w:val="0"/>
        <w:widowControl w:val="0"/>
        <w:numPr>
          <w:ilvl w:val="0"/>
          <w:numId w:val="0"/>
        </w:numPr>
        <w:kinsoku/>
        <w:wordWrap/>
        <w:overflowPunct/>
        <w:topLinePunct w:val="0"/>
        <w:autoSpaceDN w:val="0"/>
        <w:bidi w:val="0"/>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（五）协同监管</w:t>
      </w:r>
    </w:p>
    <w:p w14:paraId="57C4CF9C">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ascii="仿宋" w:hAnsi="仿宋" w:eastAsia="仿宋"/>
          <w:color w:val="auto"/>
          <w:sz w:val="32"/>
          <w:highlight w:val="none"/>
        </w:rPr>
      </w:pPr>
      <w:r>
        <w:rPr>
          <w:rFonts w:ascii="仿宋" w:hAnsi="仿宋" w:eastAsia="仿宋"/>
          <w:color w:val="auto"/>
          <w:sz w:val="32"/>
          <w:highlight w:val="none"/>
        </w:rPr>
        <w:t>按照权责匹配、权责一致的原则，加强</w:t>
      </w:r>
      <w:r>
        <w:rPr>
          <w:rFonts w:hint="eastAsia" w:ascii="仿宋" w:hAnsi="仿宋" w:eastAsia="仿宋"/>
          <w:color w:val="auto"/>
          <w:sz w:val="32"/>
          <w:highlight w:val="none"/>
          <w:lang w:val="en-US" w:eastAsia="zh-CN"/>
        </w:rPr>
        <w:t>区</w:t>
      </w:r>
      <w:r>
        <w:rPr>
          <w:rFonts w:ascii="仿宋" w:hAnsi="仿宋" w:eastAsia="仿宋"/>
          <w:color w:val="auto"/>
          <w:sz w:val="32"/>
          <w:highlight w:val="none"/>
        </w:rPr>
        <w:t>林业局与</w:t>
      </w:r>
      <w:r>
        <w:rPr>
          <w:rFonts w:hint="eastAsia" w:ascii="仿宋" w:hAnsi="仿宋" w:eastAsia="仿宋"/>
          <w:color w:val="auto"/>
          <w:sz w:val="32"/>
          <w:highlight w:val="none"/>
          <w:lang w:val="en-US" w:eastAsia="zh-CN"/>
        </w:rPr>
        <w:t>区</w:t>
      </w:r>
      <w:r>
        <w:rPr>
          <w:rFonts w:ascii="仿宋" w:hAnsi="仿宋" w:eastAsia="仿宋"/>
          <w:color w:val="auto"/>
          <w:sz w:val="32"/>
          <w:highlight w:val="none"/>
        </w:rPr>
        <w:t>、乡（镇)两级政府部门的沟通协作，建立健全行政审批、行业主管与后续监管协调一致的林木采伐监管机制。</w:t>
      </w:r>
    </w:p>
    <w:p w14:paraId="5D79B85F">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rPr>
        <w:t>三、事后监管</w:t>
      </w:r>
    </w:p>
    <w:p w14:paraId="3B0F4E7A">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（一）责令整改。</w:t>
      </w:r>
      <w:r>
        <w:rPr>
          <w:rFonts w:ascii="仿宋" w:hAnsi="仿宋" w:eastAsia="仿宋"/>
          <w:color w:val="auto"/>
          <w:sz w:val="32"/>
          <w:highlight w:val="none"/>
        </w:rPr>
        <w:t>发现被检查单位或个人存在违反相关法律法规的行为，发放《责令停止违法行为通知书》，责令当事人开展整改并报送整改结果，视情开展复查。</w:t>
      </w:r>
    </w:p>
    <w:p w14:paraId="091742AE">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（二）典型通报。</w:t>
      </w:r>
      <w:r>
        <w:rPr>
          <w:rFonts w:ascii="仿宋" w:hAnsi="仿宋" w:eastAsia="仿宋"/>
          <w:color w:val="auto"/>
          <w:sz w:val="32"/>
          <w:highlight w:val="none"/>
        </w:rPr>
        <w:t>对于检查中发现的较为严重的以及具有典型性的问题，在一定范围内予以通报。</w:t>
      </w:r>
    </w:p>
    <w:p w14:paraId="176EC0EA">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（三）实施处罚。</w:t>
      </w:r>
      <w:r>
        <w:rPr>
          <w:rFonts w:ascii="仿宋" w:hAnsi="仿宋" w:eastAsia="仿宋"/>
          <w:color w:val="auto"/>
          <w:sz w:val="32"/>
          <w:highlight w:val="none"/>
        </w:rPr>
        <w:t>对以欺骗等不正当手段取得的行政许可或者提供虚假材料骗取的行政许可，予以撤销；对检查中发现的违法行为，性质恶劣、情节严重符合立案条件的，移交</w:t>
      </w:r>
      <w:r>
        <w:rPr>
          <w:rFonts w:hint="eastAsia" w:ascii="仿宋" w:hAnsi="仿宋" w:eastAsia="仿宋"/>
          <w:color w:val="auto"/>
          <w:sz w:val="32"/>
          <w:highlight w:val="none"/>
          <w:lang w:val="en-US" w:eastAsia="zh-CN"/>
        </w:rPr>
        <w:t>区</w:t>
      </w:r>
      <w:r>
        <w:rPr>
          <w:rFonts w:ascii="仿宋" w:hAnsi="仿宋" w:eastAsia="仿宋"/>
          <w:color w:val="auto"/>
          <w:sz w:val="32"/>
          <w:highlight w:val="none"/>
        </w:rPr>
        <w:t>森林公安局及时予以立案查处，按照《林业行政处罚程序规定》，对立案查处案件严格履行调查取证程序，并作出决定。对于作出的行政处罚决定要严格执行。</w:t>
      </w:r>
    </w:p>
    <w:p w14:paraId="21080EE3">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（四）</w:t>
      </w:r>
      <w:r>
        <w:rPr>
          <w:rFonts w:ascii="仿宋" w:hAnsi="仿宋" w:eastAsia="仿宋"/>
          <w:color w:val="auto"/>
          <w:sz w:val="32"/>
          <w:highlight w:val="none"/>
        </w:rPr>
        <w:t>行政相对人和利害关系人对</w:t>
      </w:r>
      <w:r>
        <w:rPr>
          <w:rFonts w:hint="eastAsia" w:ascii="仿宋" w:hAnsi="仿宋" w:eastAsia="仿宋"/>
          <w:color w:val="auto"/>
          <w:sz w:val="32"/>
          <w:highlight w:val="none"/>
          <w:lang w:val="en-US" w:eastAsia="zh-CN"/>
        </w:rPr>
        <w:t>区</w:t>
      </w:r>
      <w:r>
        <w:rPr>
          <w:rFonts w:ascii="仿宋" w:hAnsi="仿宋" w:eastAsia="仿宋"/>
          <w:color w:val="auto"/>
          <w:sz w:val="32"/>
          <w:highlight w:val="none"/>
        </w:rPr>
        <w:t>林业局在林业采伐许可证监督管理工作中作出的具体行政决定不服的，可以自收到决定之日起60日内向市林业主管部门或者向本级人民政府申请行政复议，也可以于6个月内依法向人民法院提起行政诉讼。行政复议或者行政诉讼期间，行政决定不停止执行。</w:t>
      </w:r>
    </w:p>
    <w:p w14:paraId="4ED98FDA">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rPr>
        <w:t>四、责任追溯</w:t>
      </w:r>
    </w:p>
    <w:p w14:paraId="733CBB69">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（一）加强层级监督。</w:t>
      </w:r>
      <w:r>
        <w:rPr>
          <w:rFonts w:hint="eastAsia" w:ascii="仿宋" w:hAnsi="仿宋" w:eastAsia="仿宋"/>
          <w:color w:val="auto"/>
          <w:sz w:val="32"/>
          <w:highlight w:val="none"/>
          <w:lang w:val="en-US" w:eastAsia="zh-CN"/>
        </w:rPr>
        <w:t>区</w:t>
      </w:r>
      <w:r>
        <w:rPr>
          <w:rFonts w:ascii="仿宋" w:hAnsi="仿宋" w:eastAsia="仿宋"/>
          <w:color w:val="auto"/>
          <w:sz w:val="32"/>
          <w:highlight w:val="none"/>
        </w:rPr>
        <w:t>林业局对基层站</w:t>
      </w:r>
      <w:r>
        <w:rPr>
          <w:rFonts w:hint="eastAsia" w:ascii="仿宋" w:hAnsi="仿宋" w:eastAsia="仿宋"/>
          <w:color w:val="auto"/>
          <w:sz w:val="32"/>
          <w:highlight w:val="none"/>
        </w:rPr>
        <w:t>所</w:t>
      </w:r>
      <w:r>
        <w:rPr>
          <w:rFonts w:ascii="仿宋" w:hAnsi="仿宋" w:eastAsia="仿宋"/>
          <w:color w:val="auto"/>
          <w:sz w:val="32"/>
          <w:highlight w:val="none"/>
        </w:rPr>
        <w:t>工作人员所是否履行监管责任进行监督问责；对日常监管中发现的问题是否依法处理，是否存在不作为、乱作为等进行监督问责；对上级机关交办的案件是否认真调查并按时报告调查结果进行监督问责。</w:t>
      </w:r>
    </w:p>
    <w:p w14:paraId="4E27235B">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（二）加强人员监督。</w:t>
      </w:r>
      <w:r>
        <w:rPr>
          <w:rFonts w:ascii="仿宋" w:hAnsi="仿宋" w:eastAsia="仿宋"/>
          <w:color w:val="auto"/>
          <w:sz w:val="32"/>
          <w:highlight w:val="none"/>
        </w:rPr>
        <w:t>对不符合审批条件的申请人发放林业采伐许可；或者对符合审批条件的申请人不发放林业采伐许可；或者超越法定职权、超过法定期限、不按法定程序发放林业采伐许可的，对直接负责的主管人员和其他直接责任人员依法给予处分，构成犯罪的，依法追究刑事责任。</w:t>
      </w:r>
      <w:r>
        <w:rPr>
          <w:rFonts w:hint="eastAsia" w:ascii="仿宋" w:hAnsi="仿宋" w:eastAsia="仿宋"/>
          <w:color w:val="auto"/>
          <w:sz w:val="32"/>
          <w:highlight w:val="none"/>
          <w:lang w:val="en-US" w:eastAsia="zh-CN"/>
        </w:rPr>
        <w:t>区</w:t>
      </w:r>
      <w:r>
        <w:rPr>
          <w:rFonts w:ascii="仿宋" w:hAnsi="仿宋" w:eastAsia="仿宋"/>
          <w:color w:val="auto"/>
          <w:sz w:val="32"/>
          <w:highlight w:val="none"/>
        </w:rPr>
        <w:t>林业局加强人员监督，重点对监管人员是否定期赴现场检查、是否严格执行监管措施、是否认真填报检查事项进行监督问责。</w:t>
      </w:r>
    </w:p>
    <w:p w14:paraId="64327A31">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（三）建立责任追究机制。</w:t>
      </w:r>
      <w:r>
        <w:rPr>
          <w:rFonts w:ascii="仿宋" w:hAnsi="仿宋" w:eastAsia="仿宋"/>
          <w:color w:val="auto"/>
          <w:sz w:val="32"/>
          <w:highlight w:val="none"/>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0B92E1FE">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rPr>
        <w:t>五、保障措施</w:t>
      </w:r>
    </w:p>
    <w:p w14:paraId="1AA7F1DF">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（一）实施“审批查”改革。</w:t>
      </w:r>
      <w:r>
        <w:rPr>
          <w:rFonts w:hint="eastAsia" w:ascii="仿宋" w:hAnsi="仿宋" w:eastAsia="仿宋"/>
          <w:color w:val="auto"/>
          <w:sz w:val="32"/>
          <w:highlight w:val="none"/>
          <w:lang w:val="en-US" w:eastAsia="zh-CN"/>
        </w:rPr>
        <w:t>林业站</w:t>
      </w:r>
      <w:r>
        <w:rPr>
          <w:rFonts w:ascii="仿宋" w:hAnsi="仿宋" w:eastAsia="仿宋"/>
          <w:color w:val="auto"/>
          <w:sz w:val="32"/>
          <w:highlight w:val="none"/>
        </w:rPr>
        <w:t>要高度重视林业采伐许可事中事后监管工作，按照“审、批、查”相互分离、相互衔接和简政放权、放管结合、转变职能的要求，强化组织领导，完善监管办法，落实保障措施，严肃查处问题，</w:t>
      </w:r>
      <w:r>
        <w:rPr>
          <w:rFonts w:hint="eastAsia" w:ascii="仿宋" w:hAnsi="仿宋" w:eastAsia="仿宋"/>
          <w:color w:val="auto"/>
          <w:sz w:val="32"/>
          <w:szCs w:val="32"/>
          <w:highlight w:val="none"/>
        </w:rPr>
        <w:t>建立举报查处机制，公布举报电话，</w:t>
      </w:r>
      <w:r>
        <w:rPr>
          <w:rFonts w:ascii="仿宋" w:hAnsi="仿宋" w:eastAsia="仿宋"/>
          <w:color w:val="auto"/>
          <w:sz w:val="32"/>
          <w:highlight w:val="none"/>
        </w:rPr>
        <w:t>确保事中事后监管工作有序进行。</w:t>
      </w:r>
    </w:p>
    <w:p w14:paraId="56F6DB29">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（二）加强人员培训。</w:t>
      </w:r>
      <w:r>
        <w:rPr>
          <w:rFonts w:hint="eastAsia" w:ascii="仿宋" w:hAnsi="仿宋" w:eastAsia="仿宋"/>
          <w:color w:val="auto"/>
          <w:sz w:val="32"/>
          <w:highlight w:val="none"/>
          <w:lang w:val="en-US" w:eastAsia="zh-CN"/>
        </w:rPr>
        <w:t>林业站</w:t>
      </w:r>
      <w:r>
        <w:rPr>
          <w:rFonts w:ascii="仿宋" w:hAnsi="仿宋" w:eastAsia="仿宋"/>
          <w:color w:val="auto"/>
          <w:sz w:val="32"/>
          <w:highlight w:val="none"/>
        </w:rPr>
        <w:t>应当加强对监管执法人员林业采伐相关法律、法规、标准和专业知识与执法能力培训，并适时组织考核。不具备相应知识和能力的，不得从事林业采伐监管工作。</w:t>
      </w:r>
    </w:p>
    <w:p w14:paraId="179B8281">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ascii="仿宋" w:hAnsi="仿宋" w:eastAsia="仿宋"/>
          <w:color w:val="auto"/>
          <w:sz w:val="32"/>
          <w:highlight w:val="none"/>
        </w:rPr>
      </w:pPr>
      <w:r>
        <w:rPr>
          <w:rFonts w:hint="eastAsia" w:ascii="仿宋_GB2312" w:hAnsi="仿宋_GB2312" w:eastAsia="仿宋_GB2312" w:cs="仿宋_GB2312"/>
          <w:b/>
          <w:bCs/>
          <w:color w:val="auto"/>
          <w:sz w:val="32"/>
          <w:highlight w:val="none"/>
        </w:rPr>
        <w:t>（三）加强普法宣传。</w:t>
      </w:r>
      <w:r>
        <w:rPr>
          <w:rFonts w:ascii="仿宋" w:hAnsi="仿宋" w:eastAsia="仿宋"/>
          <w:color w:val="auto"/>
          <w:sz w:val="32"/>
          <w:highlight w:val="none"/>
        </w:rPr>
        <w:t>运用多种方式宣传林业相关法律法规，提升管理相对人和公众的法律意识。</w:t>
      </w:r>
    </w:p>
    <w:p w14:paraId="0EED47C0">
      <w:pPr>
        <w:keepNext w:val="0"/>
        <w:keepLines w:val="0"/>
        <w:pageBreakBefore w:val="0"/>
        <w:widowControl w:val="0"/>
        <w:kinsoku/>
        <w:wordWrap/>
        <w:overflowPunct/>
        <w:topLinePunct w:val="0"/>
        <w:autoSpaceDN w:val="0"/>
        <w:bidi w:val="0"/>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rPr>
        <w:t>六、主要依据</w:t>
      </w:r>
    </w:p>
    <w:p w14:paraId="3572D88F">
      <w:pPr>
        <w:keepNext w:val="0"/>
        <w:keepLines w:val="0"/>
        <w:pageBreakBefore w:val="0"/>
        <w:widowControl w:val="0"/>
        <w:kinsoku/>
        <w:wordWrap/>
        <w:overflowPunct/>
        <w:topLinePunct w:val="0"/>
        <w:autoSpaceDN w:val="0"/>
        <w:bidi w:val="0"/>
        <w:snapToGrid/>
        <w:spacing w:beforeAutospacing="0" w:afterAutospacing="0" w:line="560" w:lineRule="exact"/>
        <w:ind w:firstLine="640" w:firstLineChars="200"/>
        <w:textAlignment w:val="auto"/>
        <w:rPr>
          <w:rFonts w:hint="eastAsia" w:ascii="仿宋" w:hAnsi="仿宋" w:eastAsia="仿宋"/>
          <w:b/>
          <w:color w:val="auto"/>
          <w:sz w:val="32"/>
          <w:highlight w:val="none"/>
        </w:rPr>
      </w:pPr>
      <w:r>
        <w:rPr>
          <w:rFonts w:ascii="仿宋" w:hAnsi="仿宋" w:eastAsia="仿宋"/>
          <w:color w:val="auto"/>
          <w:sz w:val="32"/>
          <w:highlight w:val="none"/>
        </w:rPr>
        <w:t>《安徽省实施〈中华人民共和国森林法〉办法》</w:t>
      </w:r>
      <w:r>
        <w:rPr>
          <w:rFonts w:hint="eastAsia" w:ascii="仿宋" w:hAnsi="仿宋" w:eastAsia="仿宋"/>
          <w:color w:val="auto"/>
          <w:sz w:val="32"/>
          <w:highlight w:val="none"/>
        </w:rPr>
        <w:t>。</w:t>
      </w:r>
    </w:p>
    <w:p w14:paraId="37EAC0F9">
      <w:pPr>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br w:type="page"/>
      </w:r>
    </w:p>
    <w:p w14:paraId="4AE7F5A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十四、</w:t>
      </w:r>
      <w:r>
        <w:rPr>
          <w:rFonts w:hint="eastAsia" w:ascii="黑体" w:hAnsi="黑体" w:eastAsia="黑体" w:cs="黑体"/>
          <w:b w:val="0"/>
          <w:bCs w:val="0"/>
          <w:color w:val="auto"/>
          <w:sz w:val="32"/>
          <w:szCs w:val="32"/>
          <w:highlight w:val="none"/>
        </w:rPr>
        <w:t>建设项目使用林地及在森林和野生动物类型国家级自然保护区建设审批</w:t>
      </w:r>
      <w:r>
        <w:rPr>
          <w:rFonts w:hint="eastAsia" w:ascii="黑体" w:hAnsi="黑体" w:eastAsia="黑体" w:cs="黑体"/>
          <w:b w:val="0"/>
          <w:bCs w:val="0"/>
          <w:color w:val="auto"/>
          <w:sz w:val="32"/>
          <w:szCs w:val="32"/>
          <w:highlight w:val="none"/>
          <w:lang w:eastAsia="zh-CN"/>
        </w:rPr>
        <w:t>（仅限临时使用林地审批）</w:t>
      </w:r>
      <w:r>
        <w:rPr>
          <w:rFonts w:hint="eastAsia" w:ascii="黑体" w:hAnsi="黑体" w:eastAsia="黑体" w:cs="黑体"/>
          <w:b w:val="0"/>
          <w:bCs w:val="0"/>
          <w:color w:val="auto"/>
          <w:sz w:val="32"/>
          <w:szCs w:val="32"/>
          <w:highlight w:val="none"/>
        </w:rPr>
        <w:t>事中事后监管细则</w:t>
      </w:r>
    </w:p>
    <w:p w14:paraId="2D63AB8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Chars="0" w:right="0" w:rightChars="0" w:firstLine="3200" w:firstLineChars="10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b w:val="0"/>
          <w:bCs w:val="0"/>
          <w:color w:val="auto"/>
          <w:sz w:val="32"/>
          <w:szCs w:val="32"/>
          <w:highlight w:val="none"/>
          <w:lang w:eastAsia="zh-CN"/>
        </w:rPr>
        <w:t>行政许可）</w:t>
      </w:r>
    </w:p>
    <w:p w14:paraId="24FB64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推进简政放权、放管结合、优化服务，加强林地资源的严格保护，提高林地开发利用的指导、监督和服务水平，依法打击违法使用林地行为，保护林地资源，促进林地资源科学经营、合理开发、有序利用，特制定如下监管细则。</w:t>
      </w:r>
    </w:p>
    <w:p w14:paraId="5A1BE9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权力类型：行政许可，项目名称：建设项目使用林地及在森林和野生动物类型国家级自然保护区建设审批</w:t>
      </w:r>
      <w:r>
        <w:rPr>
          <w:rFonts w:hint="eastAsia" w:ascii="仿宋_GB2312" w:hAnsi="仿宋_GB2312" w:eastAsia="仿宋_GB2312" w:cs="仿宋_GB2312"/>
          <w:color w:val="auto"/>
          <w:sz w:val="32"/>
          <w:szCs w:val="32"/>
          <w:highlight w:val="none"/>
          <w:lang w:eastAsia="zh-CN"/>
        </w:rPr>
        <w:t>（仅限临时使用林地审批）</w:t>
      </w:r>
      <w:r>
        <w:rPr>
          <w:rFonts w:hint="eastAsia" w:ascii="仿宋_GB2312" w:hAnsi="仿宋_GB2312" w:eastAsia="仿宋_GB2312" w:cs="仿宋_GB2312"/>
          <w:color w:val="auto"/>
          <w:sz w:val="32"/>
          <w:szCs w:val="32"/>
          <w:highlight w:val="none"/>
        </w:rPr>
        <w:t>。</w:t>
      </w:r>
    </w:p>
    <w:p w14:paraId="644413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一、监管任务</w:t>
      </w:r>
    </w:p>
    <w:p w14:paraId="0B0E9F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rPr>
        <w:t>依照法律、行政法规等规定，通过对建设项目使用林地及在森林和野生动物类型国家级自然保护区建设审批采取监督检查、稽查执法等事中事后监管措施，规范林地生产活动，依法打击、纠正和查处违法违规侵占林地的行为，确保林地资源科学经营，合理开发，有序利用。</w:t>
      </w:r>
    </w:p>
    <w:p w14:paraId="340C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二、事中监管</w:t>
      </w:r>
    </w:p>
    <w:p w14:paraId="53D627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（一）监督检查对象</w:t>
      </w:r>
      <w:bookmarkStart w:id="0" w:name="_GoBack"/>
      <w:bookmarkEnd w:id="0"/>
    </w:p>
    <w:p w14:paraId="0DB343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建设项目使用林地及在森林和野生动物类型国家级自然保护区建设审批的单位或个人。</w:t>
      </w:r>
    </w:p>
    <w:p w14:paraId="6CB356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（二）监督检查内容</w:t>
      </w:r>
    </w:p>
    <w:p w14:paraId="12190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设项目使用林地及在森林和野生动物类型国家级自然保护区建设审批的单位或个人是否符合《中华人民共和国森林法实施条例》、《安徽省林地管理条例》等相关法律、法规、规章的规定使用林地。主要检查下列事项：</w:t>
      </w:r>
    </w:p>
    <w:p w14:paraId="778D0E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1、是否存在未批先占的行为；</w:t>
      </w:r>
    </w:p>
    <w:p w14:paraId="123F5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2、是否存在少批多占的行为；</w:t>
      </w:r>
    </w:p>
    <w:p w14:paraId="11722C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3、是否存在未按审批用途使用林地的行为；</w:t>
      </w:r>
    </w:p>
    <w:p w14:paraId="4226C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4、是否存在临时使用林地到期未经审批继续使用的行为。</w:t>
      </w:r>
    </w:p>
    <w:p w14:paraId="479198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（三）监督检查程序</w:t>
      </w:r>
    </w:p>
    <w:p w14:paraId="0E511F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1、制定监督检查方案。检查方案应包括日程安排、检查标准和检查内容、检查组成员及分工等。</w:t>
      </w:r>
    </w:p>
    <w:p w14:paraId="6EAEFE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实施监督检查。检查人员应不少于2人，要求被检查单位或个人说明情况，是否按审批的地点、四至范围进行施工，并提供相关材料；检查人员到现场进行监督，检查人员向被检查单位或个人出示有效行政执法证件、说明来意、告知其享有的合法权利和应当履行的法定义务后，对取得建设项目使用林地及在森林和野生动物类型国家级自然保护区建设审批的单位或个人实施检查，填写《使用林地行政许可项目监督检查记录表》，并交当事人确认签字。</w:t>
      </w:r>
    </w:p>
    <w:p w14:paraId="5A5CB5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3、发现违规违法行为后依法处置。对有证据证明被检查单位或个人有监督检查内容所指4种行为之一的，符合立案条件的进行立案，依法进行行政处罚。</w:t>
      </w:r>
    </w:p>
    <w:p w14:paraId="79A99A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4、按照法定程序和要求公布监管信息。</w:t>
      </w:r>
    </w:p>
    <w:p w14:paraId="76154E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（四）建立监管档案</w:t>
      </w:r>
    </w:p>
    <w:p w14:paraId="490D13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镇建立本行政区域内办理建设项目使用林地及在森林和野生动物类型国家级自然保护区建设审批单位和个人的监管档案。监管档案主要包括：1、用地单位使用林地申请；2、用地单位营业执照或机构代码证复印件；3、用地单位法人身份证复印件；4、项目立项批件；5、项目环境批复；6、国土用地预审意见；7、规划局预审意见及用地红线图；8、林权证复印件，若没有林权证，就提供由区人民政府出具的林地权属明细表；9、使用征收林地补偿协议；10、项目可行性报告或项目建议书；11、涉及使用国家级、省级公益林的要提供核减、调整报告；12、涉及使用退耕还林地的要提供《退耕还林地征占用申请表》；13、提供恢复林业生产条件方案和承诺书；14、其它相关材料。</w:t>
      </w:r>
    </w:p>
    <w:p w14:paraId="2860F2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（五）协同监督</w:t>
      </w:r>
    </w:p>
    <w:p w14:paraId="3B3262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按照权责匹配、权责一致的原则，加强区林业局与乡（镇）政府的沟通协作，建立健全行政审批、行政主管与后续监管协调一致的征占用林地的监管机制。</w:t>
      </w:r>
    </w:p>
    <w:p w14:paraId="478D3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32"/>
          <w:szCs w:val="32"/>
          <w:highlight w:val="none"/>
        </w:rPr>
        <w:t>三、事后监管</w:t>
      </w:r>
    </w:p>
    <w:p w14:paraId="020833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（一）责令整改。</w:t>
      </w:r>
      <w:r>
        <w:rPr>
          <w:rFonts w:hint="eastAsia" w:ascii="仿宋_GB2312" w:hAnsi="仿宋_GB2312" w:eastAsia="仿宋_GB2312" w:cs="仿宋_GB2312"/>
          <w:color w:val="auto"/>
          <w:sz w:val="32"/>
          <w:szCs w:val="32"/>
          <w:highlight w:val="none"/>
        </w:rPr>
        <w:t>发现被检查单位或个人存在违反相关法律法规的行为，发放《责令整改通知书》，责令当事人开展整改并报送整改结果，视情开展复查。</w:t>
      </w:r>
    </w:p>
    <w:p w14:paraId="1172D3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（二）典型通报。</w:t>
      </w:r>
      <w:r>
        <w:rPr>
          <w:rFonts w:hint="eastAsia" w:ascii="仿宋_GB2312" w:hAnsi="仿宋_GB2312" w:eastAsia="仿宋_GB2312" w:cs="仿宋_GB2312"/>
          <w:color w:val="auto"/>
          <w:sz w:val="32"/>
          <w:szCs w:val="32"/>
          <w:highlight w:val="none"/>
        </w:rPr>
        <w:t>对于检查中发现的较为严重的以及具有典型性的问题，在一定范围内予以通报。</w:t>
      </w:r>
    </w:p>
    <w:p w14:paraId="3D4CEA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（三）实施处罚。</w:t>
      </w:r>
      <w:r>
        <w:rPr>
          <w:rFonts w:hint="eastAsia" w:ascii="仿宋_GB2312" w:hAnsi="仿宋_GB2312" w:eastAsia="仿宋_GB2312" w:cs="仿宋_GB2312"/>
          <w:color w:val="auto"/>
          <w:sz w:val="32"/>
          <w:szCs w:val="32"/>
          <w:highlight w:val="none"/>
        </w:rPr>
        <w:t>对以欺骗等不正当手段取得行政许可的行政许可或者提供虚假材料骗取的行政许可，予以撤销；对检查中发现的违法行为，符合立案条件的，及时予以立案，按照《林业行政处罚程序规定》查处并作出决定。对于作出的行政处罚决定要严格执行。</w:t>
      </w:r>
    </w:p>
    <w:p w14:paraId="43C182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（四）</w:t>
      </w:r>
      <w:r>
        <w:rPr>
          <w:rFonts w:hint="eastAsia" w:ascii="仿宋_GB2312" w:hAnsi="仿宋_GB2312" w:eastAsia="仿宋_GB2312" w:cs="仿宋_GB2312"/>
          <w:color w:val="auto"/>
          <w:sz w:val="32"/>
          <w:szCs w:val="32"/>
          <w:highlight w:val="none"/>
        </w:rPr>
        <w:t>行政相对人和利害关系人对区林业局在建设项目使用林地及在森林和野生动物类型国家级自然保护区建设审批林地使用许可监督管理工作中作出具体行政决定不服的，可以自收到决定之日起60日内向</w:t>
      </w:r>
      <w:r>
        <w:rPr>
          <w:rFonts w:hint="eastAsia" w:ascii="仿宋_GB2312" w:hAnsi="仿宋_GB2312" w:eastAsia="仿宋_GB2312" w:cs="仿宋_GB2312"/>
          <w:color w:val="auto"/>
          <w:sz w:val="32"/>
          <w:szCs w:val="32"/>
          <w:highlight w:val="none"/>
          <w:lang w:val="en-US" w:eastAsia="zh-CN"/>
        </w:rPr>
        <w:t>屯溪区</w:t>
      </w:r>
      <w:r>
        <w:rPr>
          <w:rFonts w:hint="eastAsia" w:ascii="仿宋_GB2312" w:hAnsi="仿宋_GB2312" w:eastAsia="仿宋_GB2312" w:cs="仿宋_GB2312"/>
          <w:color w:val="auto"/>
          <w:sz w:val="32"/>
          <w:szCs w:val="32"/>
          <w:highlight w:val="none"/>
        </w:rPr>
        <w:t>人民政府申请复议，也可以于6个月内依法向人民法院提起行政诉讼。行政复议或行政诉讼期间，行政决定不停止执行。</w:t>
      </w:r>
    </w:p>
    <w:p w14:paraId="385FA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四、责任追究</w:t>
      </w:r>
    </w:p>
    <w:p w14:paraId="312B32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（一）加强层级监督。</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rPr>
        <w:t>对基层站所工作人员是否履行监管责任进行监督问责；对日常监管中发现的问题是否依法处理，是否存在不作为、乱作为等进行监督问责；对上级机关交办的案件是否认真调查并按时报告调查结果进行监督问责。</w:t>
      </w:r>
    </w:p>
    <w:p w14:paraId="210D33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（二）加强人员监督。</w:t>
      </w:r>
      <w:r>
        <w:rPr>
          <w:rFonts w:hint="eastAsia" w:ascii="仿宋_GB2312" w:hAnsi="仿宋_GB2312" w:eastAsia="仿宋_GB2312" w:cs="仿宋_GB2312"/>
          <w:color w:val="auto"/>
          <w:sz w:val="32"/>
          <w:szCs w:val="32"/>
          <w:highlight w:val="none"/>
          <w:lang w:val="en-US" w:eastAsia="zh-CN"/>
        </w:rPr>
        <w:t>对不符合审批条件的申请人发放林地审批许可；或者对符合审批条件的申请人不发放林地审批许可；或者超越法定职权、超过法定期限、不按法定程序发放林地使用许可的，对直接负责的主管人员和其他直接责任人员依法给予处分，构成犯罪的依法追究刑事责任。区林业局加强人员监督，重点对监管人员是否定期赴现场检查，是否严格执行监管措施，是否认真填报检查事项进行监督问责。</w:t>
      </w:r>
    </w:p>
    <w:p w14:paraId="13696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（三）建立责任追究机制。</w:t>
      </w:r>
      <w:r>
        <w:rPr>
          <w:rFonts w:hint="eastAsia" w:ascii="仿宋_GB2312" w:hAnsi="仿宋_GB2312" w:eastAsia="仿宋_GB2312" w:cs="仿宋_GB2312"/>
          <w:color w:val="auto"/>
          <w:sz w:val="32"/>
          <w:szCs w:val="32"/>
          <w:highlight w:val="none"/>
          <w:lang w:val="en-US" w:eastAsia="zh-CN"/>
        </w:rPr>
        <w:t>监管责任追究实行过错责任追究，根据过错责任的大小实施相应的追究方式。包括：责令改正、责令作出书面检查、给予通报批评、调离工作岗位或者停职、给予行政处分、没收和追缴违法所得；涉嫌犯罪的移交司法机关处理。</w:t>
      </w:r>
    </w:p>
    <w:p w14:paraId="2964E4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五、保障措施</w:t>
      </w:r>
    </w:p>
    <w:p w14:paraId="20478D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（一）实施“审批查”改革。</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rPr>
        <w:t>要高度重视林地审批许可事中事后监管工作，按照“审、批、查”相互分离、相互衔接和简政放权、放管结合、转变职能的要求，强化组织领导，完善监管办法，落实保障措施，严肃查处问题，确保事中事后监管工作有序进行。</w:t>
      </w:r>
    </w:p>
    <w:p w14:paraId="4B63C3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（二）加强人员培训。</w:t>
      </w:r>
      <w:r>
        <w:rPr>
          <w:rFonts w:hint="eastAsia" w:ascii="仿宋_GB2312" w:hAnsi="仿宋_GB2312" w:eastAsia="仿宋_GB2312" w:cs="仿宋_GB2312"/>
          <w:color w:val="auto"/>
          <w:sz w:val="32"/>
          <w:szCs w:val="32"/>
          <w:highlight w:val="none"/>
          <w:lang w:val="en-US" w:eastAsia="zh-CN"/>
        </w:rPr>
        <w:t>镇应当加强对监管执法人员林地征占用相关法律、法规、规章和专业知识与执法能力培训，并适时组织考核。不具备相应知识和能力的，不得从事林地监管工作。</w:t>
      </w:r>
    </w:p>
    <w:p w14:paraId="56D51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（三）加强普法宣传。</w:t>
      </w:r>
      <w:r>
        <w:rPr>
          <w:rFonts w:hint="eastAsia" w:ascii="仿宋_GB2312" w:hAnsi="仿宋_GB2312" w:eastAsia="仿宋_GB2312" w:cs="仿宋_GB2312"/>
          <w:color w:val="auto"/>
          <w:sz w:val="32"/>
          <w:szCs w:val="32"/>
          <w:highlight w:val="none"/>
          <w:lang w:val="en-US" w:eastAsia="zh-CN"/>
        </w:rPr>
        <w:t>运用多种方式宣传林业相关法律，提升管理相对人和公众的法律意识。</w:t>
      </w:r>
    </w:p>
    <w:p w14:paraId="6A815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六、主要依据</w:t>
      </w:r>
    </w:p>
    <w:p w14:paraId="60AC81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（一）《中华人民共和国森林法实施条例》；</w:t>
      </w:r>
    </w:p>
    <w:p w14:paraId="49558D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（二）《安徽省林地管理条例》；</w:t>
      </w:r>
    </w:p>
    <w:p w14:paraId="74309B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（三）《建设项目使用林地审核审批管理办法》国家林业局第35号（2015年5月1日执行）。</w:t>
      </w:r>
    </w:p>
    <w:p w14:paraId="044D87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7D77D3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110901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2B7145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36A410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7235A7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754B6F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009E4C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2B114C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5D8418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lang w:eastAsia="zh-CN"/>
        </w:rPr>
      </w:pPr>
    </w:p>
    <w:p w14:paraId="76341E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auto"/>
          <w:sz w:val="32"/>
          <w:szCs w:val="32"/>
          <w:highlight w:val="none"/>
          <w:lang w:eastAsia="zh-CN"/>
        </w:rPr>
      </w:pPr>
    </w:p>
    <w:p w14:paraId="6DD956C7">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br w:type="page"/>
      </w:r>
    </w:p>
    <w:p w14:paraId="6329B9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十五、</w:t>
      </w:r>
      <w:r>
        <w:rPr>
          <w:rFonts w:hint="eastAsia" w:ascii="黑体" w:hAnsi="黑体" w:eastAsia="黑体" w:cs="黑体"/>
          <w:color w:val="auto"/>
          <w:sz w:val="32"/>
          <w:szCs w:val="32"/>
          <w:highlight w:val="none"/>
        </w:rPr>
        <w:t>确定村道公路用地外缘的建筑控制区</w:t>
      </w:r>
    </w:p>
    <w:p w14:paraId="292F78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事中事后监管细则</w:t>
      </w:r>
    </w:p>
    <w:p w14:paraId="6461F1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行政确认</w:t>
      </w:r>
      <w:r>
        <w:rPr>
          <w:rFonts w:hint="eastAsia" w:ascii="黑体" w:hAnsi="黑体" w:eastAsia="黑体" w:cs="黑体"/>
          <w:color w:val="auto"/>
          <w:sz w:val="32"/>
          <w:szCs w:val="32"/>
          <w:highlight w:val="none"/>
        </w:rPr>
        <w:t>）</w:t>
      </w:r>
    </w:p>
    <w:p w14:paraId="254552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为深入推进简政放权、放管结合、优化服务、加强对</w:t>
      </w:r>
      <w:r>
        <w:rPr>
          <w:rFonts w:hint="eastAsia" w:ascii="仿宋_GB2312" w:hAnsi="仿宋_GB2312" w:eastAsia="仿宋_GB2312" w:cs="仿宋_GB2312"/>
          <w:color w:val="auto"/>
          <w:sz w:val="32"/>
          <w:szCs w:val="32"/>
          <w:highlight w:val="none"/>
          <w:lang w:eastAsia="zh-CN"/>
        </w:rPr>
        <w:t>确定村道公路用地外缘的建筑控制区</w:t>
      </w:r>
      <w:r>
        <w:rPr>
          <w:rFonts w:hint="eastAsia" w:ascii="仿宋_GB2312" w:hAnsi="仿宋_GB2312" w:eastAsia="仿宋_GB2312" w:cs="仿宋_GB2312"/>
          <w:color w:val="auto"/>
          <w:sz w:val="32"/>
          <w:szCs w:val="32"/>
          <w:highlight w:val="none"/>
        </w:rPr>
        <w:t>的监管服务工作，规范政府权力运行，根据相关法律法规和《安徽省农村公路条例》，结合工作实际，制定本监管细则。</w:t>
      </w:r>
    </w:p>
    <w:p w14:paraId="7226D3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本细则对应</w:t>
      </w:r>
      <w:r>
        <w:rPr>
          <w:rFonts w:hint="eastAsia" w:ascii="仿宋_GB2312" w:hAnsi="仿宋_GB2312" w:eastAsia="仿宋_GB2312" w:cs="仿宋_GB2312"/>
          <w:color w:val="auto"/>
          <w:sz w:val="32"/>
          <w:szCs w:val="32"/>
          <w:highlight w:val="none"/>
          <w:lang w:val="en-US" w:eastAsia="zh-CN"/>
        </w:rPr>
        <w:t>《屯溪区</w:t>
      </w:r>
      <w:r>
        <w:rPr>
          <w:rFonts w:hint="eastAsia" w:ascii="仿宋_GB2312" w:hAnsi="仿宋_GB2312" w:cs="仿宋_GB2312"/>
          <w:color w:val="auto"/>
          <w:sz w:val="32"/>
          <w:szCs w:val="32"/>
          <w:highlight w:val="none"/>
          <w:lang w:val="en-US" w:eastAsia="zh-CN"/>
        </w:rPr>
        <w:t>镇（街道）审批事项清单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行政确认类</w:t>
      </w:r>
      <w:r>
        <w:rPr>
          <w:rFonts w:hint="eastAsia" w:ascii="仿宋_GB2312" w:hAnsi="仿宋_GB2312" w:eastAsia="仿宋_GB2312" w:cs="仿宋_GB2312"/>
          <w:color w:val="auto"/>
          <w:sz w:val="32"/>
          <w:szCs w:val="32"/>
          <w:highlight w:val="none"/>
        </w:rPr>
        <w:t>第</w:t>
      </w:r>
      <w:r>
        <w:rPr>
          <w:rFonts w:hint="eastAsia" w:ascii="仿宋_GB2312" w:hAnsi="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eastAsia="zh-CN"/>
        </w:rPr>
        <w:t>确定村道公路用地外缘的建筑控制区。</w:t>
      </w:r>
    </w:p>
    <w:p w14:paraId="09EE8B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一、监管任务</w:t>
      </w:r>
    </w:p>
    <w:p w14:paraId="03CB5C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《安徽省农村公路条例》等相关法律法规</w:t>
      </w:r>
      <w:r>
        <w:rPr>
          <w:rFonts w:hint="eastAsia" w:ascii="仿宋_GB2312" w:hAnsi="仿宋_GB2312" w:eastAsia="仿宋_GB2312" w:cs="仿宋_GB2312"/>
          <w:color w:val="auto"/>
          <w:sz w:val="32"/>
          <w:szCs w:val="32"/>
          <w:highlight w:val="none"/>
          <w:lang w:eastAsia="zh-CN"/>
        </w:rPr>
        <w:t>，镇人民政府</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辖区内确定村道公路用地外缘的建筑控制区的工作事宜。</w:t>
      </w:r>
    </w:p>
    <w:p w14:paraId="302E3A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二、监管措施</w:t>
      </w:r>
    </w:p>
    <w:p w14:paraId="523C8D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划分。</w:t>
      </w:r>
      <w:r>
        <w:rPr>
          <w:rFonts w:hint="eastAsia" w:ascii="仿宋_GB2312" w:hAnsi="仿宋_GB2312" w:eastAsia="仿宋_GB2312" w:cs="仿宋_GB2312"/>
          <w:color w:val="auto"/>
          <w:sz w:val="32"/>
          <w:szCs w:val="32"/>
          <w:highlight w:val="none"/>
          <w:lang w:eastAsia="zh-CN"/>
        </w:rPr>
        <w:t>加强对村道公路用地外缘的建筑控制区划分工作的监管，按照村级道路用地标准与村级道路实际情况，划定村道外缘建筑控制区。强化廉政风险防控，主要对划分标准、现场划定、纠纷处理等廉政风险点进行管理，强化权力运行制约监督。</w:t>
      </w:r>
    </w:p>
    <w:p w14:paraId="7899AC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2.公告。</w:t>
      </w:r>
      <w:r>
        <w:rPr>
          <w:rFonts w:hint="eastAsia" w:ascii="仿宋_GB2312" w:hAnsi="仿宋_GB2312" w:eastAsia="仿宋_GB2312" w:cs="仿宋_GB2312"/>
          <w:color w:val="auto"/>
          <w:sz w:val="32"/>
          <w:szCs w:val="32"/>
          <w:highlight w:val="none"/>
          <w:lang w:eastAsia="zh-CN"/>
        </w:rPr>
        <w:t>对确定建筑控制区后向村民公告工作进行监管，确保辖区全覆盖。公开权力实施依据，梳理有关法律法规规章和规范性文件，列明主要实施依据，予以公开并做好监管。对于公告无异议的道路，务必设立标志、标牌，予以提醒。</w:t>
      </w:r>
    </w:p>
    <w:p w14:paraId="6EB33B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3.监督。</w:t>
      </w:r>
      <w:r>
        <w:rPr>
          <w:rFonts w:hint="eastAsia" w:ascii="仿宋_GB2312" w:hAnsi="仿宋_GB2312" w:eastAsia="仿宋_GB2312" w:cs="仿宋_GB2312"/>
          <w:color w:val="auto"/>
          <w:sz w:val="32"/>
          <w:szCs w:val="32"/>
          <w:highlight w:val="none"/>
          <w:lang w:eastAsia="zh-CN"/>
        </w:rPr>
        <w:t>对加强巡查，防止违规用地工作进行监管，对巡查监督工作合规性、有效性进行监管。巡查必须2人以上参加，对违规用地进行处置必须有依有据。</w:t>
      </w:r>
    </w:p>
    <w:p w14:paraId="11C3BC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三、责任追究</w:t>
      </w:r>
    </w:p>
    <w:p w14:paraId="09210D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因不履行或不正确履行行政职责，有下列情形的，屯光镇城乡建设管理办公室（城建办）应承担相应责任：</w:t>
      </w:r>
    </w:p>
    <w:p w14:paraId="6F2B6E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1.对未在村道公路用地外缘划分建筑控制区，并未告知村民；</w:t>
      </w:r>
    </w:p>
    <w:p w14:paraId="7C5423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2.不正确履行巡查责任，监管不力；</w:t>
      </w:r>
    </w:p>
    <w:p w14:paraId="0135E1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3.收受贿赂、获取其他利益，或者为他人谋取不正当利益提供方便的；</w:t>
      </w:r>
    </w:p>
    <w:p w14:paraId="3C141D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4.其他违反法律法规规章文件规定的行为。</w:t>
      </w:r>
    </w:p>
    <w:p w14:paraId="1BD256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四、保障措施</w:t>
      </w:r>
    </w:p>
    <w:p w14:paraId="7B8232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严格按照简政放权、放管结合、转变职能的要求，强化组织领导、完善监管办法，落实监管责任，畅通举报渠道，严肃查处问题，确保辖区内确定村道公路用地外缘的建筑控制区工作有序推进。</w:t>
      </w:r>
    </w:p>
    <w:p w14:paraId="0CF683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五、主要依据</w:t>
      </w:r>
    </w:p>
    <w:p w14:paraId="25AFAC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《安徽省农村公路条例》。</w:t>
      </w:r>
    </w:p>
    <w:p w14:paraId="3EFA6CE4">
      <w:pPr>
        <w:keepNext w:val="0"/>
        <w:keepLines w:val="0"/>
        <w:pageBreakBefore w:val="0"/>
        <w:kinsoku/>
        <w:wordWrap/>
        <w:overflowPunct/>
        <w:topLinePunct w:val="0"/>
        <w:bidi w:val="0"/>
        <w:snapToGrid/>
        <w:spacing w:beforeAutospacing="0" w:afterAutospacing="0" w:line="560" w:lineRule="exact"/>
        <w:textAlignment w:val="auto"/>
        <w:rPr>
          <w:color w:val="auto"/>
          <w:highlight w:val="none"/>
        </w:rPr>
      </w:pPr>
    </w:p>
    <w:p w14:paraId="6B460A9A">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4935300E">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702454D">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CB80566">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46F64E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十六、个人之间、个人与单位之间的土地所有权和使用权争议处理</w:t>
      </w:r>
      <w:r>
        <w:rPr>
          <w:rFonts w:hint="eastAsia" w:ascii="黑体" w:hAnsi="黑体" w:eastAsia="黑体" w:cs="黑体"/>
          <w:b w:val="0"/>
          <w:bCs w:val="0"/>
          <w:color w:val="auto"/>
          <w:sz w:val="32"/>
          <w:szCs w:val="32"/>
          <w:highlight w:val="none"/>
        </w:rPr>
        <w:t>事中事后监管细则</w:t>
      </w:r>
    </w:p>
    <w:p w14:paraId="52E9A1A4">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val="zh-CN"/>
        </w:rPr>
        <w:t>行政</w:t>
      </w:r>
      <w:r>
        <w:rPr>
          <w:rFonts w:hint="eastAsia" w:ascii="黑体" w:hAnsi="黑体" w:eastAsia="黑体" w:cs="黑体"/>
          <w:color w:val="auto"/>
          <w:kern w:val="0"/>
          <w:sz w:val="32"/>
          <w:szCs w:val="32"/>
          <w:highlight w:val="none"/>
          <w:lang w:val="en-US" w:eastAsia="zh-CN"/>
        </w:rPr>
        <w:t>裁决</w:t>
      </w:r>
      <w:r>
        <w:rPr>
          <w:rFonts w:hint="eastAsia" w:ascii="黑体" w:hAnsi="黑体" w:eastAsia="黑体" w:cs="黑体"/>
          <w:color w:val="auto"/>
          <w:sz w:val="32"/>
          <w:szCs w:val="32"/>
          <w:highlight w:val="none"/>
        </w:rPr>
        <w:t>）</w:t>
      </w:r>
    </w:p>
    <w:p w14:paraId="437559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为处理好个人之间、个人与单位之间</w:t>
      </w:r>
      <w:r>
        <w:rPr>
          <w:rFonts w:hint="eastAsia" w:ascii="仿宋_GB2312" w:hAnsi="仿宋_GB2312" w:eastAsia="仿宋_GB2312" w:cs="仿宋_GB2312"/>
          <w:color w:val="auto"/>
          <w:sz w:val="32"/>
          <w:szCs w:val="32"/>
          <w:highlight w:val="none"/>
          <w:lang w:eastAsia="zh-CN"/>
        </w:rPr>
        <w:t>的土地</w:t>
      </w:r>
      <w:r>
        <w:rPr>
          <w:rFonts w:hint="eastAsia" w:ascii="仿宋_GB2312" w:hAnsi="仿宋_GB2312" w:eastAsia="仿宋_GB2312" w:cs="仿宋_GB2312"/>
          <w:color w:val="auto"/>
          <w:sz w:val="32"/>
          <w:szCs w:val="32"/>
          <w:highlight w:val="none"/>
        </w:rPr>
        <w:t>所有权</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eastAsia="zh-CN"/>
        </w:rPr>
        <w:t>权</w:t>
      </w:r>
      <w:r>
        <w:rPr>
          <w:rFonts w:hint="eastAsia" w:ascii="仿宋_GB2312" w:hAnsi="仿宋_GB2312" w:eastAsia="仿宋_GB2312" w:cs="仿宋_GB2312"/>
          <w:color w:val="auto"/>
          <w:sz w:val="32"/>
          <w:szCs w:val="32"/>
          <w:highlight w:val="none"/>
        </w:rPr>
        <w:t>争议，保护当事人的合法权益，强化权力运行监管，根据《中华人民共和国土地管理法》《安徽省土地权属争议处理条例》和《安徽省政府权力运行监督管理办法》及相关法律法规，结合</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实际，制定本监管细则。</w:t>
      </w:r>
    </w:p>
    <w:p w14:paraId="0FE280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lang w:val="zh-CN"/>
        </w:rPr>
        <w:t>本细则对应</w:t>
      </w:r>
      <w:r>
        <w:rPr>
          <w:rFonts w:hint="eastAsia" w:ascii="仿宋_GB2312" w:hAnsi="Times New Roman" w:eastAsia="仿宋_GB2312" w:cs="Times New Roman"/>
          <w:color w:val="auto"/>
          <w:sz w:val="32"/>
          <w:szCs w:val="32"/>
          <w:highlight w:val="none"/>
          <w:lang w:val="zh-CN" w:eastAsia="zh-CN"/>
        </w:rPr>
        <w:t>《</w:t>
      </w:r>
      <w:r>
        <w:rPr>
          <w:rFonts w:hint="eastAsia" w:ascii="仿宋_GB2312" w:hAnsi="Times New Roman" w:eastAsia="仿宋_GB2312" w:cs="Times New Roman"/>
          <w:color w:val="auto"/>
          <w:sz w:val="32"/>
          <w:szCs w:val="32"/>
          <w:highlight w:val="none"/>
          <w:lang w:val="en-US" w:eastAsia="zh-CN"/>
        </w:rPr>
        <w:t>屯溪区阳湖镇</w:t>
      </w:r>
      <w:r>
        <w:rPr>
          <w:rFonts w:hint="eastAsia" w:ascii="仿宋_GB2312" w:hAnsi="Times New Roman" w:eastAsia="仿宋_GB2312" w:cs="Times New Roman"/>
          <w:color w:val="auto"/>
          <w:sz w:val="32"/>
          <w:szCs w:val="32"/>
          <w:highlight w:val="none"/>
          <w:lang w:val="zh-CN"/>
        </w:rPr>
        <w:t>权责清单</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zh-CN" w:eastAsia="zh-CN"/>
        </w:rPr>
        <w:t>行政裁决类</w:t>
      </w:r>
      <w:r>
        <w:rPr>
          <w:rFonts w:hint="eastAsia" w:ascii="仿宋_GB2312" w:hAnsi="Times New Roman" w:eastAsia="仿宋_GB2312" w:cs="Times New Roman"/>
          <w:color w:val="auto"/>
          <w:sz w:val="32"/>
          <w:szCs w:val="32"/>
          <w:highlight w:val="none"/>
          <w:lang w:val="zh-CN"/>
        </w:rPr>
        <w:t>第</w:t>
      </w:r>
      <w:r>
        <w:rPr>
          <w:rFonts w:hint="eastAsia" w:ascii="仿宋_GB2312" w:hAnsi="Times New Roman" w:eastAsia="仿宋_GB2312" w:cs="Times New Roman"/>
          <w:color w:val="auto"/>
          <w:sz w:val="32"/>
          <w:szCs w:val="32"/>
          <w:highlight w:val="none"/>
          <w:lang w:val="en-US" w:eastAsia="zh-CN"/>
        </w:rPr>
        <w:t>1</w:t>
      </w:r>
      <w:r>
        <w:rPr>
          <w:rFonts w:hint="eastAsia" w:ascii="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val="zh-CN"/>
        </w:rPr>
        <w:t>项，项目名称：个人之间、个人与单位之间的土地所有权和使用权争议处理。</w:t>
      </w:r>
    </w:p>
    <w:p w14:paraId="452200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一、监管任务</w:t>
      </w:r>
    </w:p>
    <w:p w14:paraId="4910BD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乡镇人民</w:t>
      </w:r>
      <w:r>
        <w:rPr>
          <w:rFonts w:hint="eastAsia" w:ascii="仿宋_GB2312" w:hAnsi="仿宋_GB2312" w:eastAsia="仿宋_GB2312" w:cs="仿宋_GB2312"/>
          <w:color w:val="auto"/>
          <w:sz w:val="32"/>
          <w:szCs w:val="32"/>
          <w:highlight w:val="none"/>
        </w:rPr>
        <w:t>政府依照相关法律法规等规定，负责个人之间、个人与单位之间的土地所有权和使用权争议案件的调查处理、裁决监管工作。</w:t>
      </w:r>
    </w:p>
    <w:p w14:paraId="1E4229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二、事中监管</w:t>
      </w:r>
    </w:p>
    <w:p w14:paraId="520B11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（一）责任事项</w:t>
      </w:r>
    </w:p>
    <w:p w14:paraId="682989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受理责任：公示申请条件、法定期限、需要提供的申请书及其他资料（申请人及被申请人的基本情况，申请裁决的要求和理由，有关证据材料，申请的日期等），一次性告知补正材料，对土地所有权和使用权提出要求解决权属纠纷的请求，进行材料审查，对符合条件的依法受理、立案；对不符条件的，不予受理并通知申请人，告知理由。</w:t>
      </w:r>
    </w:p>
    <w:p w14:paraId="7544FE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审理责任：通知权属争议申请人及对方当事人，并要求对方当事人在规定的期限内提交答辩书及有关证据材料。收到答辩书后，国土所对争议的事实、证据材料进行审查，针对疑问情况或经当事人请求，举行公开听证，由当事人双方当面陈述案情，进行辩论、举证、质证，以查明案情。</w:t>
      </w:r>
    </w:p>
    <w:p w14:paraId="48AFE8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裁决责任：根据事实和法律、法规作出裁决，制作并向双方当事人送达裁决书（说明裁决的理由和依据，并告知当事人能否向法院起诉的权力及行使诉权的期限）。</w:t>
      </w:r>
    </w:p>
    <w:p w14:paraId="3B40A1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执行责任：土地所有权和使用权裁决生效后，督促争议当事人履行裁决决定。</w:t>
      </w:r>
    </w:p>
    <w:p w14:paraId="73FC57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其他法律法规政策规定应履行的责任。</w:t>
      </w:r>
    </w:p>
    <w:p w14:paraId="02DD39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（二）监督检查</w:t>
      </w:r>
    </w:p>
    <w:p w14:paraId="1FA372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制定检查方案。检查方式分为自查、互查及现场检查。检查方案包括日程安排、检查标准和检查内容、检查组成员、分工等主要内容等。</w:t>
      </w:r>
    </w:p>
    <w:p w14:paraId="613050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实施监督检查。检查人员应为2人以上，检查采取工作汇报、询问有关人员、查阅案件卷宗等方式，对检查中知悉业务秘密应当保密。</w:t>
      </w:r>
    </w:p>
    <w:p w14:paraId="23FC0D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监督检查结果。应当以现场检查报告形式反馈各村，如实记录检查的主要内容，并做出评定意见，需整改的应当提出整改内容和期限。</w:t>
      </w:r>
    </w:p>
    <w:p w14:paraId="36C170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按照法定程序和要求公布监管信息。</w:t>
      </w:r>
    </w:p>
    <w:p w14:paraId="4B6804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）协同监管</w:t>
      </w:r>
    </w:p>
    <w:p w14:paraId="56A63E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按照权责匹配、权责一致的原则，加强与上级</w:t>
      </w:r>
      <w:r>
        <w:rPr>
          <w:rFonts w:hint="eastAsia" w:ascii="仿宋_GB2312" w:hAnsi="仿宋_GB2312" w:eastAsia="仿宋_GB2312" w:cs="仿宋_GB2312"/>
          <w:color w:val="auto"/>
          <w:sz w:val="32"/>
          <w:szCs w:val="32"/>
          <w:highlight w:val="none"/>
          <w:lang w:eastAsia="zh-CN"/>
        </w:rPr>
        <w:t>自然资源和规划</w:t>
      </w:r>
      <w:r>
        <w:rPr>
          <w:rFonts w:hint="eastAsia" w:ascii="仿宋_GB2312" w:hAnsi="仿宋_GB2312" w:eastAsia="仿宋_GB2312" w:cs="仿宋_GB2312"/>
          <w:color w:val="auto"/>
          <w:sz w:val="32"/>
          <w:szCs w:val="32"/>
          <w:highlight w:val="none"/>
        </w:rPr>
        <w:t>部门沟通协作，构建政府监管、社会监督联动，健全监管机制。积极构建协同监管平台，推进监管信息互联互通，实现监管过程和结果的可查询、可监督。</w:t>
      </w:r>
    </w:p>
    <w:p w14:paraId="4DFE99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三、事后监管</w:t>
      </w:r>
    </w:p>
    <w:p w14:paraId="465726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color w:val="auto"/>
          <w:sz w:val="32"/>
          <w:szCs w:val="32"/>
          <w:highlight w:val="none"/>
        </w:rPr>
        <w:t>公布举报电话和邮箱，接受投诉举报，属于职权范围，依法受理并及时核实处理；不属于职权范围，引导找相关部门解决；涉嫌构成犯罪的，移交司法机关处理。</w:t>
      </w:r>
    </w:p>
    <w:p w14:paraId="0ACAF9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推行信息公开公示制度。落实信息公示责任，做到办理环节公开透明，办理结果向社会公开，接受监督。</w:t>
      </w:r>
    </w:p>
    <w:p w14:paraId="1CA17A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color w:val="auto"/>
          <w:sz w:val="32"/>
          <w:szCs w:val="32"/>
          <w:highlight w:val="none"/>
        </w:rPr>
        <w:t>保障行政复议和诉讼。明确行政复议和行政诉讼有关规定，保障行政相对人和利害关系人申请行政复议和提起行政诉讼的权利。</w:t>
      </w:r>
    </w:p>
    <w:p w14:paraId="6EE7AE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四、责任追究</w:t>
      </w:r>
    </w:p>
    <w:p w14:paraId="7E0424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因不履行或不正确履行行政职责，有下列情形的，行政机关及相关工作人员应承担相应责任：</w:t>
      </w:r>
    </w:p>
    <w:p w14:paraId="4C6C66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无正当理由拒绝受理依法提出的行政裁决申请的；</w:t>
      </w:r>
    </w:p>
    <w:p w14:paraId="562CBA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在法定期限内不作出行政裁决决定的；</w:t>
      </w:r>
    </w:p>
    <w:p w14:paraId="6A8040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在行政裁决工作中不履行或者不正确履行职责，导致当事人的合法权益受损的；</w:t>
      </w:r>
    </w:p>
    <w:p w14:paraId="7813F6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在行政</w:t>
      </w:r>
      <w:r>
        <w:rPr>
          <w:rFonts w:hint="eastAsia" w:ascii="Times New Roman" w:hAnsi="Times New Roman" w:eastAsia="仿宋_GB2312" w:cs="Times New Roman"/>
          <w:color w:val="auto"/>
          <w:sz w:val="32"/>
          <w:szCs w:val="32"/>
          <w:highlight w:val="none"/>
          <w:lang w:eastAsia="zh-CN"/>
        </w:rPr>
        <w:t>裁决</w:t>
      </w:r>
      <w:r>
        <w:rPr>
          <w:rFonts w:hint="default" w:ascii="Times New Roman" w:hAnsi="Times New Roman" w:eastAsia="仿宋_GB2312" w:cs="Times New Roman"/>
          <w:color w:val="auto"/>
          <w:sz w:val="32"/>
          <w:szCs w:val="32"/>
          <w:highlight w:val="none"/>
        </w:rPr>
        <w:t>活动中，有徇私舞弊或者有其他渎职、失职行为的；</w:t>
      </w:r>
    </w:p>
    <w:p w14:paraId="152298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在行政裁决过程中发生腐败行为的；</w:t>
      </w:r>
    </w:p>
    <w:p w14:paraId="036A62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其他违反法律法规规章文件规定的行为。</w:t>
      </w:r>
    </w:p>
    <w:p w14:paraId="5D5FCD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五、保障措施</w:t>
      </w:r>
    </w:p>
    <w:p w14:paraId="2E13E4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（一）按照简政放权、放管结合、转变职能的要求，切实加强事中事后监管力度，彻底解决“重审批轻监管”的问题，强化组织领导，确保事中事后监管工作有序推进。</w:t>
      </w:r>
    </w:p>
    <w:p w14:paraId="5998FE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（二）加强宣传教育，加强对土地管理方面的法律法规的宣传教育力度，让广大干部群众懂法、知法，依法解决土地权属争议。</w:t>
      </w:r>
    </w:p>
    <w:p w14:paraId="74EBB2C1">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0B460C5C">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03174785">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35947CCF">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17B9FAAB">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493FD299">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4B6789A1">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4DB43CCA">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BE4A83B">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1B31F9AF">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5505CA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auto"/>
          <w:sz w:val="32"/>
          <w:szCs w:val="32"/>
          <w:highlight w:val="none"/>
          <w:lang w:eastAsia="zh-CN"/>
        </w:rPr>
      </w:pPr>
    </w:p>
    <w:p w14:paraId="4F1F63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十七、</w:t>
      </w:r>
      <w:r>
        <w:rPr>
          <w:rFonts w:hint="eastAsia" w:ascii="黑体" w:hAnsi="黑体" w:eastAsia="黑体" w:cs="黑体"/>
          <w:b w:val="0"/>
          <w:bCs w:val="0"/>
          <w:color w:val="auto"/>
          <w:sz w:val="32"/>
          <w:szCs w:val="32"/>
          <w:highlight w:val="none"/>
        </w:rPr>
        <w:t>个人之间、个人与单位之间林木所有权和林地使用权争议处理事中事后监管细则</w:t>
      </w:r>
    </w:p>
    <w:p w14:paraId="4D4FE271">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val="zh-CN"/>
        </w:rPr>
        <w:t>行政</w:t>
      </w:r>
      <w:r>
        <w:rPr>
          <w:rFonts w:hint="eastAsia" w:ascii="黑体" w:hAnsi="黑体" w:eastAsia="黑体" w:cs="黑体"/>
          <w:color w:val="auto"/>
          <w:kern w:val="0"/>
          <w:sz w:val="32"/>
          <w:szCs w:val="32"/>
          <w:highlight w:val="none"/>
          <w:lang w:val="en-US" w:eastAsia="zh-CN"/>
        </w:rPr>
        <w:t>裁决</w:t>
      </w:r>
      <w:r>
        <w:rPr>
          <w:rFonts w:hint="eastAsia" w:ascii="黑体" w:hAnsi="黑体" w:eastAsia="黑体" w:cs="黑体"/>
          <w:color w:val="auto"/>
          <w:sz w:val="32"/>
          <w:szCs w:val="32"/>
          <w:highlight w:val="none"/>
        </w:rPr>
        <w:t>）</w:t>
      </w:r>
    </w:p>
    <w:p w14:paraId="7206FF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处理好个人之间、个人与单位之间林木所有权和林地使用权争议，保护、培育和合理利用森林资源，促进社会和谐稳定，根据《中华人民共和国森林法》和《安徽省政府权力运行监督管理办法》及相关法律法规，结合</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实际，制定本监管细则。</w:t>
      </w:r>
    </w:p>
    <w:p w14:paraId="1CC0C2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lang w:val="zh-CN"/>
        </w:rPr>
        <w:t>本细则对应</w:t>
      </w:r>
      <w:r>
        <w:rPr>
          <w:rFonts w:hint="eastAsia" w:ascii="仿宋_GB2312" w:hAnsi="Times New Roman" w:eastAsia="仿宋_GB2312" w:cs="Times New Roman"/>
          <w:color w:val="auto"/>
          <w:sz w:val="32"/>
          <w:szCs w:val="32"/>
          <w:highlight w:val="none"/>
          <w:lang w:val="zh-CN" w:eastAsia="zh-CN"/>
        </w:rPr>
        <w:t>《</w:t>
      </w:r>
      <w:r>
        <w:rPr>
          <w:rFonts w:hint="eastAsia" w:ascii="仿宋_GB2312" w:hAnsi="Times New Roman" w:eastAsia="仿宋_GB2312" w:cs="Times New Roman"/>
          <w:color w:val="auto"/>
          <w:sz w:val="32"/>
          <w:szCs w:val="32"/>
          <w:highlight w:val="none"/>
          <w:lang w:val="en-US" w:eastAsia="zh-CN"/>
        </w:rPr>
        <w:t>屯溪区</w:t>
      </w:r>
      <w:r>
        <w:rPr>
          <w:rFonts w:hint="eastAsia" w:ascii="仿宋_GB2312" w:cs="Times New Roman"/>
          <w:color w:val="auto"/>
          <w:sz w:val="32"/>
          <w:szCs w:val="32"/>
          <w:highlight w:val="none"/>
          <w:lang w:val="en-US" w:eastAsia="zh-CN"/>
        </w:rPr>
        <w:t>镇（街道）审批事项清单</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zh-CN" w:eastAsia="zh-CN"/>
        </w:rPr>
        <w:t>行政裁决类</w:t>
      </w:r>
      <w:r>
        <w:rPr>
          <w:rFonts w:hint="eastAsia" w:ascii="仿宋_GB2312" w:hAnsi="Times New Roman" w:eastAsia="仿宋_GB2312" w:cs="Times New Roman"/>
          <w:color w:val="auto"/>
          <w:sz w:val="32"/>
          <w:szCs w:val="32"/>
          <w:highlight w:val="none"/>
          <w:lang w:val="zh-CN"/>
        </w:rPr>
        <w:t>第</w:t>
      </w:r>
      <w:r>
        <w:rPr>
          <w:rFonts w:hint="eastAsia" w:ascii="仿宋_GB2312" w:cs="Times New Roman"/>
          <w:color w:val="auto"/>
          <w:sz w:val="32"/>
          <w:szCs w:val="32"/>
          <w:highlight w:val="none"/>
          <w:lang w:val="en-US" w:eastAsia="zh-CN"/>
        </w:rPr>
        <w:t>17</w:t>
      </w:r>
      <w:r>
        <w:rPr>
          <w:rFonts w:hint="eastAsia" w:ascii="仿宋_GB2312" w:hAnsi="Times New Roman" w:eastAsia="仿宋_GB2312" w:cs="Times New Roman"/>
          <w:color w:val="auto"/>
          <w:sz w:val="32"/>
          <w:szCs w:val="32"/>
          <w:highlight w:val="none"/>
          <w:lang w:val="zh-CN"/>
        </w:rPr>
        <w:t>项，项目名称：个人之间、个人与单位之间林木所有权和林地使用权争议处理。</w:t>
      </w:r>
    </w:p>
    <w:p w14:paraId="12F1E6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一、监管任务</w:t>
      </w:r>
    </w:p>
    <w:p w14:paraId="330B83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乡镇人民</w:t>
      </w:r>
      <w:r>
        <w:rPr>
          <w:rFonts w:hint="eastAsia" w:ascii="仿宋_GB2312" w:hAnsi="仿宋_GB2312" w:eastAsia="仿宋_GB2312" w:cs="仿宋_GB2312"/>
          <w:color w:val="auto"/>
          <w:sz w:val="32"/>
          <w:szCs w:val="32"/>
          <w:highlight w:val="none"/>
        </w:rPr>
        <w:t>政府依照相关法律法规等规定，通过对个人之间、个人与单位之间林木所有权和林地使用权争议处理的监管，保障林木</w:t>
      </w:r>
      <w:r>
        <w:rPr>
          <w:rFonts w:hint="eastAsia" w:ascii="仿宋_GB2312" w:hAnsi="仿宋_GB2312" w:eastAsia="仿宋_GB2312" w:cs="仿宋_GB2312"/>
          <w:color w:val="auto"/>
          <w:sz w:val="32"/>
          <w:szCs w:val="32"/>
          <w:highlight w:val="none"/>
          <w:lang w:eastAsia="zh-CN"/>
        </w:rPr>
        <w:t>（林地）</w:t>
      </w:r>
      <w:r>
        <w:rPr>
          <w:rFonts w:hint="eastAsia" w:ascii="仿宋_GB2312" w:hAnsi="仿宋_GB2312" w:eastAsia="仿宋_GB2312" w:cs="仿宋_GB2312"/>
          <w:color w:val="auto"/>
          <w:sz w:val="32"/>
          <w:szCs w:val="32"/>
          <w:highlight w:val="none"/>
        </w:rPr>
        <w:t>所有权（</w:t>
      </w:r>
      <w:r>
        <w:rPr>
          <w:rFonts w:hint="eastAsia" w:ascii="仿宋_GB2312" w:hAnsi="仿宋_GB2312" w:eastAsia="仿宋_GB2312" w:cs="仿宋_GB2312"/>
          <w:color w:val="auto"/>
          <w:sz w:val="32"/>
          <w:szCs w:val="32"/>
          <w:highlight w:val="none"/>
          <w:lang w:eastAsia="zh-CN"/>
        </w:rPr>
        <w:t>使用权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合法权益、优化林业开发利用环境、保护森林资源，促进社会和谐稳定。</w:t>
      </w:r>
    </w:p>
    <w:p w14:paraId="6D442A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二、监管措施</w:t>
      </w:r>
    </w:p>
    <w:p w14:paraId="011922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（一）监督检查内容：</w:t>
      </w:r>
    </w:p>
    <w:p w14:paraId="7B1A76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依法受理。对行政裁决申请进行审查，依法决定是否受理不予受理的书面告知申请人。</w:t>
      </w:r>
    </w:p>
    <w:p w14:paraId="11A8EF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据实审查。组织人员调查取证，对争议的事实、证据材料进行审查，听取申请人、被申请人和第三人的意见。</w:t>
      </w:r>
    </w:p>
    <w:p w14:paraId="500011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依法裁决。在法定期限内，根据审查结果依法作出裁决决定。</w:t>
      </w:r>
    </w:p>
    <w:p w14:paraId="44AB9D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监督执行。是否督促有关单位落实行政裁决决定。</w:t>
      </w:r>
    </w:p>
    <w:p w14:paraId="493566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是否正确履行其他法律法规规章文件规定的责任。</w:t>
      </w:r>
    </w:p>
    <w:p w14:paraId="3BB526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（二）监督检查方式：</w:t>
      </w:r>
      <w:r>
        <w:rPr>
          <w:rFonts w:hint="default" w:ascii="Times New Roman" w:hAnsi="Times New Roman" w:eastAsia="仿宋_GB2312" w:cs="Times New Roman"/>
          <w:color w:val="auto"/>
          <w:sz w:val="32"/>
          <w:szCs w:val="32"/>
          <w:highlight w:val="none"/>
        </w:rPr>
        <w:t>日常检查、重点抽查、举报核查。</w:t>
      </w:r>
    </w:p>
    <w:p w14:paraId="5F47F1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（三）监督检查程序：</w:t>
      </w:r>
      <w:r>
        <w:rPr>
          <w:rFonts w:hint="default" w:ascii="Times New Roman" w:hAnsi="Times New Roman" w:eastAsia="仿宋_GB2312" w:cs="Times New Roman"/>
          <w:color w:val="auto"/>
          <w:sz w:val="32"/>
          <w:szCs w:val="32"/>
          <w:highlight w:val="none"/>
        </w:rPr>
        <w:t>严格工作要求，规范开展监督检查。做好检查记录。</w:t>
      </w:r>
    </w:p>
    <w:p w14:paraId="2DC94E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（四）监督检查处理：</w:t>
      </w:r>
      <w:r>
        <w:rPr>
          <w:rFonts w:hint="default" w:ascii="Times New Roman" w:hAnsi="Times New Roman" w:eastAsia="仿宋_GB2312" w:cs="Times New Roman"/>
          <w:color w:val="auto"/>
          <w:sz w:val="32"/>
          <w:szCs w:val="32"/>
          <w:highlight w:val="none"/>
        </w:rPr>
        <w:t>对于相关工作人员不履行相关法律法规赋予职责，对直接负责的主管人员和其他直接责任人员依法给予行政处分；构成犯罪的，依法追究刑事责任。</w:t>
      </w:r>
    </w:p>
    <w:p w14:paraId="5CA52C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三、责任追究</w:t>
      </w:r>
    </w:p>
    <w:p w14:paraId="5026F8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因不履行或不正确履行行政职责，有下列情形的，相关工作人员应承担相应责任：</w:t>
      </w:r>
    </w:p>
    <w:p w14:paraId="742BB3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color w:val="auto"/>
          <w:sz w:val="32"/>
          <w:szCs w:val="32"/>
          <w:highlight w:val="none"/>
        </w:rPr>
        <w:t>无正当理由拒绝受理依法提出的行政裁决申请的；</w:t>
      </w:r>
    </w:p>
    <w:p w14:paraId="3A2CF9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仿宋_GB2312" w:cs="Times New Roman"/>
          <w:color w:val="auto"/>
          <w:sz w:val="32"/>
          <w:szCs w:val="32"/>
          <w:highlight w:val="none"/>
        </w:rPr>
        <w:t>在法定期限内不作出行政裁决决定的；</w:t>
      </w:r>
    </w:p>
    <w:p w14:paraId="34CD6B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（三）</w:t>
      </w:r>
      <w:r>
        <w:rPr>
          <w:rFonts w:hint="default" w:ascii="Times New Roman" w:hAnsi="Times New Roman" w:eastAsia="仿宋_GB2312" w:cs="Times New Roman"/>
          <w:color w:val="auto"/>
          <w:sz w:val="32"/>
          <w:szCs w:val="32"/>
          <w:highlight w:val="none"/>
        </w:rPr>
        <w:t>在行政裁决工作中不履行或者不正确履行职责，导致当事人的合法权益受损的；</w:t>
      </w:r>
    </w:p>
    <w:p w14:paraId="626D36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（四）</w:t>
      </w:r>
      <w:r>
        <w:rPr>
          <w:rFonts w:hint="default" w:ascii="Times New Roman" w:hAnsi="Times New Roman" w:eastAsia="仿宋_GB2312" w:cs="Times New Roman"/>
          <w:color w:val="auto"/>
          <w:sz w:val="32"/>
          <w:szCs w:val="32"/>
          <w:highlight w:val="none"/>
        </w:rPr>
        <w:t>在行政裁决活动中，有徇私舞弊或者有其他渎职、失职行为的；</w:t>
      </w:r>
    </w:p>
    <w:p w14:paraId="5965A5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（五）</w:t>
      </w:r>
      <w:r>
        <w:rPr>
          <w:rFonts w:hint="default" w:ascii="Times New Roman" w:hAnsi="Times New Roman" w:eastAsia="仿宋_GB2312" w:cs="Times New Roman"/>
          <w:color w:val="auto"/>
          <w:sz w:val="32"/>
          <w:szCs w:val="32"/>
          <w:highlight w:val="none"/>
        </w:rPr>
        <w:t>在行政裁决过程中发生腐败行为的；</w:t>
      </w:r>
    </w:p>
    <w:p w14:paraId="6C1D00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（六）</w:t>
      </w:r>
      <w:r>
        <w:rPr>
          <w:rFonts w:hint="default" w:ascii="Times New Roman" w:hAnsi="Times New Roman" w:eastAsia="仿宋_GB2312" w:cs="Times New Roman"/>
          <w:color w:val="auto"/>
          <w:sz w:val="32"/>
          <w:szCs w:val="32"/>
          <w:highlight w:val="none"/>
        </w:rPr>
        <w:t>其他违反法律法规规章文件规定的行为。</w:t>
      </w:r>
    </w:p>
    <w:p w14:paraId="69C574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四、保障措施</w:t>
      </w:r>
    </w:p>
    <w:p w14:paraId="106651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color w:val="auto"/>
          <w:sz w:val="32"/>
          <w:szCs w:val="32"/>
          <w:highlight w:val="none"/>
        </w:rPr>
        <w:t>加强对工作人员的法律法规知识培训和廉政教育，自觉抵制不正之风，依法透明办事。</w:t>
      </w:r>
    </w:p>
    <w:p w14:paraId="49DE8F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仿宋_GB2312" w:cs="Times New Roman"/>
          <w:color w:val="auto"/>
          <w:sz w:val="32"/>
          <w:szCs w:val="32"/>
          <w:highlight w:val="none"/>
        </w:rPr>
        <w:t>进一步完善监管措施，及时公布裁决结果，畅通举报渠道。加强巡查督导力度，及时查找问题。</w:t>
      </w:r>
    </w:p>
    <w:p w14:paraId="01D477C4">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871E70C">
      <w:pPr>
        <w:keepNext w:val="0"/>
        <w:keepLines w:val="0"/>
        <w:pageBreakBefore w:val="0"/>
        <w:kinsoku/>
        <w:wordWrap/>
        <w:overflowPunct/>
        <w:topLinePunct w:val="0"/>
        <w:bidi w:val="0"/>
        <w:snapToGrid/>
        <w:spacing w:line="560" w:lineRule="exac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br w:type="page"/>
      </w:r>
    </w:p>
    <w:p w14:paraId="43F04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十八、编制乡镇国土空间规划及村庄规划</w:t>
      </w:r>
    </w:p>
    <w:p w14:paraId="19BB0D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2880" w:firstLineChars="9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事中事后监管细则</w:t>
      </w:r>
    </w:p>
    <w:p w14:paraId="6A484D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行政规划</w:t>
      </w:r>
      <w:r>
        <w:rPr>
          <w:rFonts w:hint="eastAsia" w:ascii="黑体" w:hAnsi="黑体" w:eastAsia="黑体" w:cs="黑体"/>
          <w:color w:val="auto"/>
          <w:sz w:val="32"/>
          <w:szCs w:val="32"/>
          <w:highlight w:val="none"/>
        </w:rPr>
        <w:t>）</w:t>
      </w:r>
    </w:p>
    <w:p w14:paraId="2AFF89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为深入推进简政放权、放管结合、优化服务、加强对编制、修改乡道规划的监管服务工作，规范政府权力运行，根据相关法律法规和《安徽省政府权力运行监督管理办法》，结合工作实际，制定本监管细则。</w:t>
      </w:r>
    </w:p>
    <w:p w14:paraId="733B5E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本细则对应《屯溪区</w:t>
      </w:r>
      <w:r>
        <w:rPr>
          <w:rFonts w:hint="eastAsia" w:ascii="仿宋_GB2312" w:hAnsi="仿宋_GB2312" w:cs="仿宋_GB2312"/>
          <w:color w:val="auto"/>
          <w:sz w:val="32"/>
          <w:szCs w:val="32"/>
          <w:highlight w:val="none"/>
          <w:lang w:val="en-US" w:eastAsia="zh-CN"/>
        </w:rPr>
        <w:t>镇（街道）审批事项清单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行政规划类</w:t>
      </w:r>
      <w:r>
        <w:rPr>
          <w:rFonts w:hint="eastAsia" w:ascii="仿宋_GB2312" w:hAnsi="仿宋_GB2312" w:eastAsia="仿宋_GB2312" w:cs="仿宋_GB2312"/>
          <w:color w:val="auto"/>
          <w:sz w:val="32"/>
          <w:szCs w:val="32"/>
          <w:highlight w:val="none"/>
          <w:lang w:val="en-US" w:eastAsia="zh-CN"/>
        </w:rPr>
        <w:t>第</w:t>
      </w:r>
      <w:r>
        <w:rPr>
          <w:rFonts w:hint="eastAsia" w:ascii="仿宋_GB2312" w:hAnsi="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lang w:val="en-US" w:eastAsia="zh-CN"/>
        </w:rPr>
        <w:t>项，项目名称：编制乡镇国土空间规划及村庄规划</w:t>
      </w:r>
    </w:p>
    <w:p w14:paraId="4FC6BA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一、监管</w:t>
      </w:r>
      <w:r>
        <w:rPr>
          <w:rFonts w:hint="eastAsia" w:ascii="楷体_GB2312" w:hAnsi="楷体_GB2312" w:eastAsia="楷体_GB2312" w:cs="楷体_GB2312"/>
          <w:b/>
          <w:bCs/>
          <w:color w:val="auto"/>
          <w:sz w:val="32"/>
          <w:szCs w:val="32"/>
          <w:highlight w:val="none"/>
        </w:rPr>
        <w:t>任务</w:t>
      </w:r>
    </w:p>
    <w:p w14:paraId="1FB90D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区资规</w:t>
      </w:r>
      <w:r>
        <w:rPr>
          <w:rFonts w:hint="eastAsia" w:ascii="仿宋_GB2312" w:hAnsi="仿宋_GB2312" w:eastAsia="仿宋_GB2312" w:cs="仿宋_GB2312"/>
          <w:color w:val="auto"/>
          <w:sz w:val="32"/>
          <w:szCs w:val="32"/>
          <w:highlight w:val="none"/>
          <w:lang w:val="en-US" w:eastAsia="zh-CN"/>
        </w:rPr>
        <w:t>部门负责指导、协助镇人民政府编制规划。</w:t>
      </w:r>
    </w:p>
    <w:p w14:paraId="64D9CF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在区级</w:t>
      </w:r>
      <w:r>
        <w:rPr>
          <w:rFonts w:hint="eastAsia" w:ascii="仿宋_GB2312" w:hAnsi="仿宋_GB2312" w:cs="仿宋_GB2312"/>
          <w:color w:val="auto"/>
          <w:sz w:val="32"/>
          <w:szCs w:val="32"/>
          <w:highlight w:val="none"/>
          <w:lang w:val="en-US" w:eastAsia="zh-CN"/>
        </w:rPr>
        <w:t>资规</w:t>
      </w:r>
      <w:r>
        <w:rPr>
          <w:rFonts w:hint="eastAsia" w:ascii="仿宋_GB2312" w:hAnsi="仿宋_GB2312" w:eastAsia="仿宋_GB2312" w:cs="仿宋_GB2312"/>
          <w:color w:val="auto"/>
          <w:sz w:val="32"/>
          <w:szCs w:val="32"/>
          <w:highlight w:val="none"/>
          <w:lang w:val="en-US" w:eastAsia="zh-CN"/>
        </w:rPr>
        <w:t>部门的协助下，编制、修改规划，并报区级人民政府批准。</w:t>
      </w:r>
    </w:p>
    <w:p w14:paraId="1FCEBD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二、监管措施</w:t>
      </w:r>
    </w:p>
    <w:p w14:paraId="6BD477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准备阶段责任：根据展规划，梳理本辖</w:t>
      </w:r>
      <w:r>
        <w:rPr>
          <w:rFonts w:hint="eastAsia" w:ascii="仿宋_GB2312" w:hAnsi="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现状和下步发展目标，搜集相关资料。</w:t>
      </w:r>
    </w:p>
    <w:p w14:paraId="7837DD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实施阶段责任：组织专门人员编制本辖区发展规划，公示并征求意见，组织专家评查。</w:t>
      </w:r>
    </w:p>
    <w:p w14:paraId="5DA469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上报审批阶段责任：形成本辖区</w:t>
      </w:r>
      <w:r>
        <w:rPr>
          <w:rFonts w:hint="eastAsia" w:ascii="仿宋_GB2312" w:hAnsi="仿宋_GB2312" w:cs="仿宋_GB2312"/>
          <w:color w:val="auto"/>
          <w:sz w:val="32"/>
          <w:szCs w:val="32"/>
          <w:highlight w:val="none"/>
          <w:lang w:val="en-US" w:eastAsia="zh-CN"/>
        </w:rPr>
        <w:t>国土空间</w:t>
      </w:r>
      <w:r>
        <w:rPr>
          <w:rFonts w:hint="eastAsia" w:ascii="仿宋_GB2312" w:hAnsi="仿宋_GB2312" w:eastAsia="仿宋_GB2312" w:cs="仿宋_GB2312"/>
          <w:color w:val="auto"/>
          <w:sz w:val="32"/>
          <w:szCs w:val="32"/>
          <w:highlight w:val="none"/>
          <w:lang w:val="en-US" w:eastAsia="zh-CN"/>
        </w:rPr>
        <w:t>发展规划并上报</w:t>
      </w:r>
      <w:r>
        <w:rPr>
          <w:rFonts w:hint="eastAsia" w:ascii="仿宋_GB2312" w:hAnsi="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lang w:val="en-US" w:eastAsia="zh-CN"/>
        </w:rPr>
        <w:t>级人民政府审批。</w:t>
      </w:r>
    </w:p>
    <w:p w14:paraId="610814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落实阶段责任：按照规划制定年度实施计划，需要修订完善规划的按程序上报。</w:t>
      </w:r>
    </w:p>
    <w:p w14:paraId="6D4FF1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其他法律法规政策规定应履行的责任</w:t>
      </w:r>
    </w:p>
    <w:p w14:paraId="76A8B4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三、责任追究</w:t>
      </w:r>
    </w:p>
    <w:p w14:paraId="5E0CC1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因不履行或不正确履行行政职责，有下列情形的，工作人员应承担相应责任：</w:t>
      </w:r>
    </w:p>
    <w:p w14:paraId="4803DB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不按要求制定本辖区发展规划的；</w:t>
      </w:r>
    </w:p>
    <w:p w14:paraId="0AE0D9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在制定规划过程中，不结合本地实际，不按程序编制规划的；</w:t>
      </w:r>
    </w:p>
    <w:p w14:paraId="7034AF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随意修改上级批准规划的；</w:t>
      </w:r>
    </w:p>
    <w:p w14:paraId="1B52FE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其他违反法律法规政策规定的行为。</w:t>
      </w:r>
    </w:p>
    <w:p w14:paraId="44899F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四、保障措施</w:t>
      </w:r>
    </w:p>
    <w:p w14:paraId="10B456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严格按照简政放权、放管结合、转变职能的要求，强化组织领导、完善监管办法，落实监管责任，畅通举报渠道，严肃查处问题，确保编制、修改规划工作有序推进。</w:t>
      </w:r>
    </w:p>
    <w:p w14:paraId="588244D0">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575E227D">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18172DB3">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58E4B1C">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3A1FE5D8">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5A526F52">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09C4AEF0">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0BE9745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color w:val="auto"/>
          <w:sz w:val="44"/>
          <w:szCs w:val="44"/>
          <w:highlight w:val="none"/>
          <w:lang w:eastAsia="zh-CN"/>
        </w:rPr>
      </w:pPr>
    </w:p>
    <w:p w14:paraId="6542252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sz w:val="32"/>
          <w:szCs w:val="32"/>
          <w:highlight w:val="none"/>
          <w:lang w:eastAsia="zh-CN"/>
        </w:rPr>
      </w:pPr>
    </w:p>
    <w:p w14:paraId="4E82305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十九、编制、修改乡道规划事中事后监管细则</w:t>
      </w:r>
    </w:p>
    <w:p w14:paraId="612E99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行政规划</w:t>
      </w:r>
      <w:r>
        <w:rPr>
          <w:rFonts w:hint="eastAsia" w:ascii="黑体" w:hAnsi="黑体" w:eastAsia="黑体" w:cs="黑体"/>
          <w:color w:val="auto"/>
          <w:sz w:val="32"/>
          <w:szCs w:val="32"/>
          <w:highlight w:val="none"/>
        </w:rPr>
        <w:t>）</w:t>
      </w:r>
    </w:p>
    <w:p w14:paraId="3923DA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为深入推进简政放权、放管结合、优化服务、加强对编制、修改乡道规划的监管服务工作，规范政府权力运行，根据相关法律法规和《安徽省政府权力运行监督管理办法》，结合工作实际，制定本监管细则。</w:t>
      </w:r>
    </w:p>
    <w:p w14:paraId="5D3806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本细则对应《屯溪区</w:t>
      </w:r>
      <w:r>
        <w:rPr>
          <w:rFonts w:hint="eastAsia" w:ascii="仿宋_GB2312" w:hAnsi="仿宋_GB2312" w:cs="仿宋_GB2312"/>
          <w:color w:val="auto"/>
          <w:sz w:val="32"/>
          <w:szCs w:val="32"/>
          <w:highlight w:val="none"/>
          <w:lang w:val="en-US" w:eastAsia="zh-CN"/>
        </w:rPr>
        <w:t>镇（街道）行政审批清单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行政规划类</w:t>
      </w:r>
      <w:r>
        <w:rPr>
          <w:rFonts w:hint="eastAsia" w:ascii="仿宋_GB2312" w:hAnsi="仿宋_GB2312" w:eastAsia="仿宋_GB2312" w:cs="仿宋_GB2312"/>
          <w:color w:val="auto"/>
          <w:sz w:val="32"/>
          <w:szCs w:val="32"/>
          <w:highlight w:val="none"/>
          <w:lang w:val="en-US" w:eastAsia="zh-CN"/>
        </w:rPr>
        <w:t>第</w:t>
      </w:r>
      <w:r>
        <w:rPr>
          <w:rFonts w:hint="eastAsia" w:ascii="仿宋_GB2312" w:hAnsi="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val="en-US" w:eastAsia="zh-CN"/>
        </w:rPr>
        <w:t>项，项目名称：编制、修改乡道规划。</w:t>
      </w:r>
    </w:p>
    <w:p w14:paraId="210C92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一、监管</w:t>
      </w:r>
      <w:r>
        <w:rPr>
          <w:rFonts w:hint="eastAsia" w:ascii="楷体_GB2312" w:hAnsi="楷体_GB2312" w:eastAsia="楷体_GB2312" w:cs="楷体_GB2312"/>
          <w:b/>
          <w:bCs/>
          <w:color w:val="auto"/>
          <w:sz w:val="32"/>
          <w:szCs w:val="32"/>
          <w:highlight w:val="none"/>
        </w:rPr>
        <w:t>任务</w:t>
      </w:r>
    </w:p>
    <w:p w14:paraId="49FA7B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交通运输部门负责指导、协助镇人民政府编制乡道规划。</w:t>
      </w:r>
    </w:p>
    <w:p w14:paraId="39CEB3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在区级交通部门的协助下，编制、修改乡道规划，并报区级人民政府批准。</w:t>
      </w:r>
    </w:p>
    <w:p w14:paraId="1ED462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二、监管措施</w:t>
      </w:r>
    </w:p>
    <w:p w14:paraId="56677A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准备阶段责任：根据道路发展规划，梳理本辖区内</w:t>
      </w:r>
      <w:r>
        <w:rPr>
          <w:rFonts w:hint="eastAsia" w:ascii="仿宋_GB2312" w:hAnsi="仿宋_GB2312" w:eastAsia="仿宋_GB2312" w:cs="仿宋_GB2312"/>
          <w:color w:val="auto"/>
          <w:sz w:val="32"/>
          <w:szCs w:val="32"/>
          <w:highlight w:val="none"/>
          <w:lang w:val="en-US" w:eastAsia="zh-CN"/>
        </w:rPr>
        <w:t>乡道</w:t>
      </w:r>
      <w:r>
        <w:rPr>
          <w:rFonts w:hint="eastAsia" w:ascii="仿宋_GB2312" w:hAnsi="仿宋_GB2312" w:eastAsia="仿宋_GB2312" w:cs="仿宋_GB2312"/>
          <w:color w:val="auto"/>
          <w:sz w:val="32"/>
          <w:szCs w:val="32"/>
          <w:highlight w:val="none"/>
        </w:rPr>
        <w:t>现状和下步发展目标，搜集相关资料。</w:t>
      </w:r>
    </w:p>
    <w:p w14:paraId="1412B4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实施阶段责任：组织专门人员编制本辖区乡道发展规划，公示并征求意见，组织专家评查。</w:t>
      </w:r>
    </w:p>
    <w:p w14:paraId="369117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上报审批阶段责任：形成本辖区乡道发展规划并上报</w:t>
      </w:r>
      <w:r>
        <w:rPr>
          <w:rFonts w:hint="eastAsia" w:ascii="仿宋_GB2312" w:hAnsi="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lang w:val="en-US" w:eastAsia="zh-CN"/>
        </w:rPr>
        <w:t>级人民政府审批。</w:t>
      </w:r>
    </w:p>
    <w:p w14:paraId="766E11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落实阶段责任：按照规划制定年度实施计划，需要修订完善规划的按程序上报。</w:t>
      </w:r>
    </w:p>
    <w:p w14:paraId="6A39F4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其他法律法规政策规定应履行的责任</w:t>
      </w:r>
    </w:p>
    <w:p w14:paraId="13E570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三、责任追究</w:t>
      </w:r>
    </w:p>
    <w:p w14:paraId="0F8DFD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因不履行或不正确履行行政职责，有下列情形的，工作人员应承担相应责任：</w:t>
      </w:r>
    </w:p>
    <w:p w14:paraId="7B4A2B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不按要求制定本辖区乡道发展规划的；</w:t>
      </w:r>
    </w:p>
    <w:p w14:paraId="478B6F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在制定规划过程中，不结合本地实际，不按程序编制规划的；</w:t>
      </w:r>
    </w:p>
    <w:p w14:paraId="7F87EA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随意修改上级批准规划的；</w:t>
      </w:r>
    </w:p>
    <w:p w14:paraId="003FAB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其他违反法律法规政策规定的行为。</w:t>
      </w:r>
    </w:p>
    <w:p w14:paraId="749B40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四、保障措施</w:t>
      </w:r>
    </w:p>
    <w:p w14:paraId="088A7E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严格按照简政放权、放管结合、转变职能的要求，强化组织领导、完善监管办法，落实监管责任，畅通举报渠道，严肃查处问题，确保编制、修改乡道规划工作有序推进。</w:t>
      </w:r>
    </w:p>
    <w:p w14:paraId="1FCBED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五、主要依据</w:t>
      </w:r>
    </w:p>
    <w:p w14:paraId="1E0B7E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《中华人民共和国公路法》。</w:t>
      </w:r>
    </w:p>
    <w:p w14:paraId="76A9FF06">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596A9F77">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7028D81">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6987BD55">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7EE25903">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1A6A9A7A">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0AB58364">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1A36427">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5D84F48C">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二十、举办营业性艺术展览、文艺比赛的审查事中事后监管细则</w:t>
      </w:r>
    </w:p>
    <w:p w14:paraId="3CFAAB20">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7CBACC5B">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kern w:val="0"/>
          <w:sz w:val="32"/>
          <w:szCs w:val="32"/>
          <w:highlight w:val="none"/>
        </w:rPr>
        <w:t>一、总体要求</w:t>
      </w:r>
    </w:p>
    <w:p w14:paraId="331E4624">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宋体" w:hAnsi="宋体" w:cs="宋体"/>
          <w:color w:val="auto"/>
          <w:sz w:val="32"/>
          <w:szCs w:val="32"/>
          <w:highlight w:val="none"/>
        </w:rPr>
      </w:pPr>
      <w:r>
        <w:rPr>
          <w:rFonts w:ascii="仿宋_GB2312" w:hAnsi="宋体" w:eastAsia="仿宋_GB2312" w:cs="仿宋_GB2312"/>
          <w:color w:val="auto"/>
          <w:kern w:val="0"/>
          <w:sz w:val="32"/>
          <w:szCs w:val="32"/>
          <w:highlight w:val="none"/>
        </w:rPr>
        <w:t>做好</w:t>
      </w:r>
      <w:r>
        <w:rPr>
          <w:rFonts w:hint="eastAsia" w:ascii="仿宋_GB2312" w:hAnsi="宋体" w:eastAsia="仿宋_GB2312" w:cs="仿宋_GB2312"/>
          <w:color w:val="auto"/>
          <w:kern w:val="0"/>
          <w:sz w:val="32"/>
          <w:szCs w:val="32"/>
          <w:highlight w:val="none"/>
          <w:lang w:eastAsia="zh-CN"/>
        </w:rPr>
        <w:t>营业性演出</w:t>
      </w:r>
      <w:r>
        <w:rPr>
          <w:rFonts w:hint="eastAsia" w:ascii="仿宋_GB2312" w:hAnsi="宋体" w:eastAsia="仿宋_GB2312" w:cs="仿宋_GB2312"/>
          <w:color w:val="auto"/>
          <w:kern w:val="0"/>
          <w:sz w:val="32"/>
          <w:szCs w:val="32"/>
          <w:highlight w:val="none"/>
        </w:rPr>
        <w:t>设立</w:t>
      </w:r>
      <w:r>
        <w:rPr>
          <w:rFonts w:ascii="仿宋_GB2312" w:hAnsi="宋体" w:eastAsia="仿宋_GB2312" w:cs="仿宋_GB2312"/>
          <w:color w:val="auto"/>
          <w:kern w:val="0"/>
          <w:sz w:val="32"/>
          <w:szCs w:val="32"/>
          <w:highlight w:val="none"/>
        </w:rPr>
        <w:t>批准工作，确保</w:t>
      </w:r>
      <w:r>
        <w:rPr>
          <w:rFonts w:hint="eastAsia" w:ascii="仿宋_GB2312" w:hAnsi="宋体" w:eastAsia="仿宋_GB2312" w:cs="仿宋_GB2312"/>
          <w:color w:val="auto"/>
          <w:kern w:val="0"/>
          <w:sz w:val="32"/>
          <w:szCs w:val="32"/>
          <w:highlight w:val="none"/>
          <w:lang w:eastAsia="zh-CN"/>
        </w:rPr>
        <w:t>审批</w:t>
      </w:r>
      <w:r>
        <w:rPr>
          <w:rFonts w:ascii="仿宋_GB2312" w:hAnsi="宋体" w:eastAsia="仿宋_GB2312" w:cs="仿宋_GB2312"/>
          <w:color w:val="auto"/>
          <w:kern w:val="0"/>
          <w:sz w:val="32"/>
          <w:szCs w:val="32"/>
          <w:highlight w:val="none"/>
        </w:rPr>
        <w:t>方案符合规定。</w:t>
      </w:r>
    </w:p>
    <w:p w14:paraId="156B4EDC">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二、监管任务</w:t>
      </w:r>
    </w:p>
    <w:p w14:paraId="41C41F8A">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eastAsia="zh-CN"/>
        </w:rPr>
      </w:pPr>
      <w:r>
        <w:rPr>
          <w:rFonts w:hint="eastAsia" w:ascii="仿宋_GB2312" w:hAnsi="宋体" w:eastAsia="仿宋_GB2312" w:cs="仿宋_GB2312"/>
          <w:color w:val="auto"/>
          <w:kern w:val="0"/>
          <w:sz w:val="32"/>
          <w:szCs w:val="32"/>
          <w:highlight w:val="none"/>
        </w:rPr>
        <w:t>1</w:t>
      </w:r>
      <w:r>
        <w:rPr>
          <w:rFonts w:hint="eastAsia" w:ascii="仿宋_GB2312" w:hAnsi="宋体" w:cs="仿宋_GB2312"/>
          <w:color w:val="auto"/>
          <w:kern w:val="0"/>
          <w:sz w:val="32"/>
          <w:szCs w:val="32"/>
          <w:highlight w:val="none"/>
          <w:lang w:eastAsia="zh-CN"/>
        </w:rPr>
        <w:t>．</w:t>
      </w:r>
      <w:r>
        <w:rPr>
          <w:rFonts w:hint="eastAsia" w:ascii="仿宋_GB2312" w:hAnsi="宋体" w:eastAsia="仿宋_GB2312" w:cs="仿宋_GB2312"/>
          <w:color w:val="auto"/>
          <w:kern w:val="0"/>
          <w:sz w:val="32"/>
          <w:szCs w:val="32"/>
          <w:highlight w:val="none"/>
          <w:lang w:eastAsia="zh-CN"/>
        </w:rPr>
        <w:t>审查营业性演出申请资质</w:t>
      </w:r>
    </w:p>
    <w:p w14:paraId="58D8F23A">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eastAsia="zh-CN"/>
        </w:rPr>
      </w:pPr>
      <w:r>
        <w:rPr>
          <w:rFonts w:hint="eastAsia" w:ascii="仿宋_GB2312" w:hAnsi="宋体" w:eastAsia="仿宋_GB2312" w:cs="仿宋_GB2312"/>
          <w:color w:val="auto"/>
          <w:kern w:val="0"/>
          <w:sz w:val="32"/>
          <w:szCs w:val="32"/>
          <w:highlight w:val="none"/>
        </w:rPr>
        <w:t>2</w:t>
      </w:r>
      <w:r>
        <w:rPr>
          <w:rFonts w:hint="eastAsia" w:ascii="仿宋_GB2312" w:hAnsi="宋体" w:cs="仿宋_GB2312"/>
          <w:color w:val="auto"/>
          <w:kern w:val="0"/>
          <w:sz w:val="32"/>
          <w:szCs w:val="32"/>
          <w:highlight w:val="none"/>
          <w:lang w:eastAsia="zh-CN"/>
        </w:rPr>
        <w:t>．</w:t>
      </w:r>
      <w:r>
        <w:rPr>
          <w:rFonts w:ascii="仿宋_GB2312" w:hAnsi="宋体" w:eastAsia="仿宋_GB2312" w:cs="仿宋_GB2312"/>
          <w:color w:val="auto"/>
          <w:kern w:val="0"/>
          <w:sz w:val="32"/>
          <w:szCs w:val="32"/>
          <w:highlight w:val="none"/>
        </w:rPr>
        <w:t>审查</w:t>
      </w:r>
      <w:r>
        <w:rPr>
          <w:rFonts w:hint="eastAsia" w:ascii="仿宋_GB2312" w:hAnsi="宋体" w:eastAsia="仿宋_GB2312" w:cs="仿宋_GB2312"/>
          <w:color w:val="auto"/>
          <w:kern w:val="0"/>
          <w:sz w:val="32"/>
          <w:szCs w:val="32"/>
          <w:highlight w:val="none"/>
          <w:lang w:eastAsia="zh-CN"/>
        </w:rPr>
        <w:t>营业性演出经营行为</w:t>
      </w:r>
    </w:p>
    <w:p w14:paraId="05D9CC9E">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三、监管措施</w:t>
      </w:r>
    </w:p>
    <w:p w14:paraId="379E65EC">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由屯溪区文化旅游体育局组织对</w:t>
      </w:r>
      <w:r>
        <w:rPr>
          <w:rFonts w:hint="eastAsia" w:ascii="仿宋_GB2312" w:hAnsi="宋体" w:eastAsia="仿宋_GB2312" w:cs="仿宋_GB2312"/>
          <w:color w:val="auto"/>
          <w:kern w:val="0"/>
          <w:sz w:val="32"/>
          <w:szCs w:val="32"/>
          <w:highlight w:val="none"/>
          <w:lang w:eastAsia="zh-CN"/>
        </w:rPr>
        <w:t>营业性演出</w:t>
      </w:r>
      <w:r>
        <w:rPr>
          <w:rFonts w:hint="eastAsia" w:ascii="仿宋_GB2312" w:hAnsi="宋体" w:eastAsia="仿宋_GB2312" w:cs="仿宋_GB2312"/>
          <w:color w:val="auto"/>
          <w:kern w:val="0"/>
          <w:sz w:val="32"/>
          <w:szCs w:val="32"/>
          <w:highlight w:val="none"/>
        </w:rPr>
        <w:t>审批进行定期和不定期的监督、检查，每年组织的检查不少于一次。</w:t>
      </w:r>
    </w:p>
    <w:p w14:paraId="6A9B4AB7">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四、事中事后处理</w:t>
      </w:r>
    </w:p>
    <w:p w14:paraId="2C5B6D0F">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（一）严格执行各项工作规定、制度和程序，健全内部联合把关管理制度和监督机制，做到专人审查，明确责任，严格把关，堵塞漏洞。</w:t>
      </w:r>
    </w:p>
    <w:p w14:paraId="1503790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（二）方案的批准工作做到程序规范、公开透明。将方案通过的实施单位在门户网站进行公示，公示时间为七个工作日，公示有关材料应整理归档备查。</w:t>
      </w:r>
    </w:p>
    <w:p w14:paraId="28F6BA7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（三）高度重视，认真按照国家有关规定，认真查找存在问题，规范批准程序，严格进行自查自纠，对违规批准行为坚决予以纠正。</w:t>
      </w:r>
    </w:p>
    <w:p w14:paraId="7E369067">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五、责任追溯</w:t>
      </w:r>
    </w:p>
    <w:p w14:paraId="0C425F46">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对批准、把关不严和执行政策不到位的行为，要坚决立即纠正，严格按照法规规定从严从重进行处理，并严肃追究相关责任人的责任，绝不宽纵。</w:t>
      </w:r>
    </w:p>
    <w:p w14:paraId="7E434F09">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六、保障措施</w:t>
      </w:r>
    </w:p>
    <w:p w14:paraId="01BFE4A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（一）加强领导，由主要领导负责，明确专门的工作机构和责任人，建立健全各项规章制度，加强基础工作，认真落实方案批准工作的各项政策措施。</w:t>
      </w:r>
    </w:p>
    <w:p w14:paraId="55926410">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（二）加强人员培训。加强对批准工作人员的业务培训，不具备相应知识和能力的，不得从事批准工作。</w:t>
      </w:r>
    </w:p>
    <w:p w14:paraId="1959BEC9">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七、主要监管依据</w:t>
      </w:r>
    </w:p>
    <w:p w14:paraId="276DCCA1">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（一）《营业性演出管理条例》</w:t>
      </w:r>
    </w:p>
    <w:p w14:paraId="49C8F554">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597D89E8">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0889B968">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69BED243">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721B706C">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095F38C8">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1312A6F3">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08171104">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4058729B">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sz w:val="32"/>
          <w:szCs w:val="32"/>
          <w:highlight w:val="none"/>
          <w:lang w:val="en-US" w:eastAsia="zh-CN"/>
        </w:rPr>
      </w:pPr>
    </w:p>
    <w:p w14:paraId="4460B004">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黑体" w:hAnsi="黑体" w:eastAsia="黑体" w:cs="黑体"/>
          <w:color w:val="auto"/>
          <w:sz w:val="32"/>
          <w:szCs w:val="32"/>
          <w:highlight w:val="none"/>
          <w:lang w:val="en-US" w:eastAsia="zh-CN"/>
        </w:rPr>
      </w:pPr>
    </w:p>
    <w:p w14:paraId="31746175">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p>
    <w:p w14:paraId="44BDAFE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二十一、个体演员、个体演出经纪人的备案</w:t>
      </w:r>
    </w:p>
    <w:p w14:paraId="1D7BA85C">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事中事后监管细则</w:t>
      </w:r>
    </w:p>
    <w:p w14:paraId="302BCFEF">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1E61572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pPr>
      <w:r>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t>一、</w:t>
      </w:r>
      <w:r>
        <w:rPr>
          <w:rStyle w:val="6"/>
          <w:rFonts w:hint="eastAsia" w:ascii="楷体_GB2312" w:hAnsi="楷体_GB2312" w:eastAsia="楷体_GB2312" w:cs="楷体_GB2312"/>
          <w:b/>
          <w:bCs w:val="0"/>
          <w:i w:val="0"/>
          <w:iCs w:val="0"/>
          <w:caps w:val="0"/>
          <w:color w:val="auto"/>
          <w:spacing w:val="0"/>
          <w:sz w:val="32"/>
          <w:szCs w:val="32"/>
          <w:highlight w:val="none"/>
          <w:shd w:val="clear" w:fill="FFFFFF"/>
        </w:rPr>
        <w:t>项目名称、性质</w:t>
      </w:r>
    </w:p>
    <w:p w14:paraId="21766E3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sz w:val="32"/>
          <w:szCs w:val="32"/>
          <w:highlight w:val="none"/>
          <w:shd w:val="clear" w:fill="FFFFFF"/>
        </w:rPr>
        <w:t>(一)名称：经营性演出活动备案-个体演员、个体演出经纪人备案</w:t>
      </w:r>
    </w:p>
    <w:p w14:paraId="1C7C44B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(二)性质：其他行政权力</w:t>
      </w:r>
    </w:p>
    <w:p w14:paraId="04D4D7B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pPr>
      <w:r>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t>二、设定依据</w:t>
      </w:r>
    </w:p>
    <w:p w14:paraId="6E1499A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《营业性演出管理条例》第九条个体演员、个体演出经纪人应当自领取营业执照之日起20日内向所在地县级人民政府文化主管部门备案。</w:t>
      </w:r>
    </w:p>
    <w:p w14:paraId="12EE4F5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1" w:firstLineChars="100"/>
        <w:textAlignment w:val="auto"/>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pPr>
      <w:r>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t>三、实施权限和实施主体</w:t>
      </w:r>
    </w:p>
    <w:p w14:paraId="45657CA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根据《营业性演出管理条例》第十条规定：县级人民政府文化主管部门负责对本行政区划内的个体演员、个体演出经纪人进行备案。</w:t>
      </w:r>
    </w:p>
    <w:p w14:paraId="60B44AF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1" w:firstLineChars="100"/>
        <w:textAlignment w:val="auto"/>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pPr>
      <w:r>
        <w:rPr>
          <w:rStyle w:val="6"/>
          <w:rFonts w:hint="eastAsia" w:ascii="楷体_GB2312" w:hAnsi="楷体_GB2312" w:eastAsia="楷体_GB2312" w:cs="楷体_GB2312"/>
          <w:b/>
          <w:bCs w:val="0"/>
          <w:i w:val="0"/>
          <w:iCs w:val="0"/>
          <w:caps w:val="0"/>
          <w:color w:val="auto"/>
          <w:spacing w:val="0"/>
          <w:sz w:val="32"/>
          <w:szCs w:val="32"/>
          <w:highlight w:val="none"/>
          <w:shd w:val="clear" w:fill="FFFFFF"/>
          <w:lang w:eastAsia="zh-CN"/>
        </w:rPr>
        <w:t>四、实施对象和范围</w:t>
      </w:r>
    </w:p>
    <w:p w14:paraId="7C9BB3F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个体演员、个体演出经纪人领取营业执照后到所在地文化主管部门备案。</w:t>
      </w:r>
    </w:p>
    <w:p w14:paraId="401FB9E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1" w:firstLineChars="100"/>
        <w:textAlignment w:val="auto"/>
        <w:rPr>
          <w:rStyle w:val="6"/>
          <w:rFonts w:hint="eastAsia" w:ascii="楷体_GB2312" w:hAnsi="楷体_GB2312" w:eastAsia="楷体_GB2312" w:cs="楷体_GB2312"/>
          <w:b/>
          <w:bCs w:val="0"/>
          <w:i w:val="0"/>
          <w:iCs w:val="0"/>
          <w:caps w:val="0"/>
          <w:color w:val="auto"/>
          <w:spacing w:val="0"/>
          <w:sz w:val="32"/>
          <w:szCs w:val="32"/>
          <w:highlight w:val="none"/>
          <w:shd w:val="clear" w:fill="FFFFFF"/>
          <w:lang w:val="en-US" w:eastAsia="zh-CN"/>
        </w:rPr>
      </w:pPr>
      <w:r>
        <w:rPr>
          <w:rStyle w:val="6"/>
          <w:rFonts w:hint="eastAsia" w:ascii="楷体_GB2312" w:hAnsi="楷体_GB2312" w:eastAsia="楷体_GB2312" w:cs="楷体_GB2312"/>
          <w:b/>
          <w:bCs w:val="0"/>
          <w:i w:val="0"/>
          <w:iCs w:val="0"/>
          <w:caps w:val="0"/>
          <w:color w:val="auto"/>
          <w:spacing w:val="0"/>
          <w:sz w:val="32"/>
          <w:szCs w:val="32"/>
          <w:highlight w:val="none"/>
          <w:shd w:val="clear" w:fill="FFFFFF"/>
          <w:lang w:val="en-US" w:eastAsia="zh-CN"/>
        </w:rPr>
        <w:t>五、申请材料</w:t>
      </w:r>
    </w:p>
    <w:p w14:paraId="72FCE7F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根据《营业性演出管理条例》第九条规定：</w:t>
      </w:r>
    </w:p>
    <w:p w14:paraId="713B28C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1.个体演员备案申请登记表；</w:t>
      </w:r>
    </w:p>
    <w:p w14:paraId="7482A85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2.营业执照；</w:t>
      </w:r>
    </w:p>
    <w:p w14:paraId="1BD5AE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3.个人身份证明及简历；</w:t>
      </w:r>
    </w:p>
    <w:p w14:paraId="6BE9953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960" w:firstLineChars="3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4.艺术表演能力证明。</w:t>
      </w:r>
    </w:p>
    <w:p w14:paraId="5C8B2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6"/>
          <w:rFonts w:hint="eastAsia" w:ascii="楷体_GB2312" w:hAnsi="楷体_GB2312" w:eastAsia="楷体_GB2312" w:cs="楷体_GB2312"/>
          <w:bCs w:val="0"/>
          <w:i w:val="0"/>
          <w:iCs w:val="0"/>
          <w:caps w:val="0"/>
          <w:color w:val="auto"/>
          <w:spacing w:val="0"/>
          <w:kern w:val="0"/>
          <w:sz w:val="32"/>
          <w:szCs w:val="32"/>
          <w:highlight w:val="none"/>
          <w:shd w:val="clear" w:fill="FFFFFF"/>
          <w:lang w:val="en-US" w:eastAsia="zh-CN" w:bidi="ar"/>
        </w:rPr>
      </w:pPr>
      <w:r>
        <w:rPr>
          <w:rStyle w:val="6"/>
          <w:rFonts w:hint="eastAsia" w:ascii="楷体_GB2312" w:hAnsi="楷体_GB2312" w:eastAsia="楷体_GB2312" w:cs="楷体_GB2312"/>
          <w:bCs w:val="0"/>
          <w:i w:val="0"/>
          <w:iCs w:val="0"/>
          <w:caps w:val="0"/>
          <w:color w:val="auto"/>
          <w:spacing w:val="0"/>
          <w:kern w:val="0"/>
          <w:sz w:val="32"/>
          <w:szCs w:val="32"/>
          <w:highlight w:val="none"/>
          <w:shd w:val="clear" w:fill="FFFFFF"/>
          <w:lang w:val="en-US" w:eastAsia="zh-CN" w:bidi="ar"/>
        </w:rPr>
        <w:t>六、主要依据</w:t>
      </w:r>
    </w:p>
    <w:p w14:paraId="0E31600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营业性演出管理条例》第九条：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2.《营业性演出管理条例实施细则》第九条依法登记的演出场所经营单位，应当自领取证照之日起20日内，持证照和有关消防、卫生批准文件，向所在地县级文化主管部门备案，县级文化主管部门应当出具备案证明。备案证明式样由文化部设计，省级文化主管部门印制。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p w14:paraId="37D9C0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32"/>
          <w:szCs w:val="32"/>
          <w:highlight w:val="none"/>
          <w:shd w:val="clear" w:fill="FFFFFF"/>
        </w:rPr>
      </w:pPr>
    </w:p>
    <w:p w14:paraId="3230E9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32"/>
          <w:szCs w:val="32"/>
          <w:highlight w:val="none"/>
          <w:shd w:val="clear" w:fill="FFFFFF"/>
        </w:rPr>
      </w:pPr>
    </w:p>
    <w:p w14:paraId="46D0BDF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32"/>
          <w:szCs w:val="32"/>
          <w:highlight w:val="none"/>
          <w:shd w:val="clear" w:fill="FFFFFF"/>
        </w:rPr>
      </w:pPr>
    </w:p>
    <w:p w14:paraId="3FFBEBBA">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二十二、孤儿基本生活费审核确认事中事后监管细则</w:t>
      </w:r>
    </w:p>
    <w:p w14:paraId="6558A85A">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0A4FFE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一、监管任务</w:t>
      </w:r>
    </w:p>
    <w:p w14:paraId="751FE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区民政局负责孤儿基本生活费的给付工作，并对该项工作进行指导、监督。</w:t>
      </w:r>
    </w:p>
    <w:p w14:paraId="437592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二、监管重点</w:t>
      </w:r>
    </w:p>
    <w:p w14:paraId="19750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孤儿基本生活费的给付应明确责任事项，将下列事项作为监管的重点：</w:t>
      </w:r>
    </w:p>
    <w:p w14:paraId="2458F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（一）是否按照规范的发放程序发放；</w:t>
      </w:r>
    </w:p>
    <w:p w14:paraId="2FFC3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（二）是否对符合发放条件的对象发放；</w:t>
      </w:r>
    </w:p>
    <w:p w14:paraId="3DA30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（三）是否坚持公开、公平、公正、透明的原则；</w:t>
      </w:r>
    </w:p>
    <w:p w14:paraId="01E86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（四）是否挤占、截留、挪用和擅自扩大资金使用范围；</w:t>
      </w:r>
    </w:p>
    <w:p w14:paraId="1FC53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（五）是否严格按程序确定孤儿及发放金额。</w:t>
      </w:r>
    </w:p>
    <w:p w14:paraId="70EFD4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三、监管措施</w:t>
      </w:r>
    </w:p>
    <w:p w14:paraId="4F3C7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发放孤儿和事实无人抚养儿童基本生活费前，区民政局将与孤儿和事实无人抚养儿童监护人要签订相关协议，对监护人领取、使用孤儿和事实无人抚养儿童基本生活费及孤儿和事实无人抚养儿童养育状况要提出具体要求；明确监护人的监护义务和责任。</w:t>
      </w:r>
    </w:p>
    <w:p w14:paraId="7F0E0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镇、街道每季度至少开展一次对辖区内的社会散居孤儿、事实无人抚养儿童的监（看）护、养育、心理和家庭环境等情况深入开展入户走访评估等工作，或委托第三方社会服务机构进行走访评估或开展绩效评价工作，督促监（看）护人切实履行监护与养育责任；对已经纳入保障的孤儿和事实无人抚养儿童，村（居）儿童主任要采取多种方式及时掌握儿童及其家庭情况变化，每月上门探访或电话沟通不少于1次。区民政局或区域儿童福利机构将在寒暑假期间对社会散居孤儿和事实无人抚养儿童进行入户走访评估。要按照安徽省《社会散居孤儿和事实无人抚养儿童走访评估记录表》填写有关记录，并存入孤儿和事实无人抚养儿童档案。</w:t>
      </w:r>
    </w:p>
    <w:p w14:paraId="483AB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孤儿和事实无人抚养儿童档案实行“分级管理、一人一档”原则。依托“全国儿童福利信息系统”建立孤儿和事实无人抚养儿童基础信息数据库；区民政局应依托“全国儿童福利信息系统”和《安徽省孤儿档案管理办法》为孤儿和事实无人抚养儿童建立纸质和电子档案；镇人民政府、街道办事处应为孤儿和事实无人抚养儿童建立纸质和电子档案。孤儿和事实无人抚养儿童档案中涉及姓名、照片、地址、家庭信息等隐私信息均不得向社会公开，不得用于宣传或其他商业用途。儿童福利机构负责本级基础信息数据库的日常管理。</w:t>
      </w:r>
    </w:p>
    <w:p w14:paraId="3831E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孤儿和事实无人抚养儿童纸质档案主要包括：1、《安徽省孤儿和事实无人抚养儿童基本生活费申请及儿童父母失联认定表》（附件1）、《儿童失联父母查找情况回执单》（附件2）；2、孤儿和事实无人抚养儿童相关材料复印件；3、孤儿和事实无人抚养儿童的养育状况（含监（看）护、健康、学习、家庭以及周围环境等情况）；4、社会散居孤儿和事实无人抚养儿童的走访记录以及相关评估材料等；5、区民政局与孤儿和事实无人抚养儿童监护人签订的相关协议。福利机构内孤儿纸质和电子档案建设和管理应按照民政部《儿童福利机构管理办法》《安徽省孤儿档案管理办法》《安徽省儿童福利机构工作规程》等规定执行。</w:t>
      </w:r>
    </w:p>
    <w:p w14:paraId="46781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孤儿和事实无人抚养儿童死亡、被依法收养或年满18周岁的，自次月起，停发基本生活费。服刑、被强制戒毒或被执行其他限制人身自由的人员子女，自父母刑期届满、强制戒毒解除或期限届满、限制人身自由措施解除或期限届满的次月起，停发基本生活费。父母被宣告失踪、死亡或失联后，又查找到下落的，自查找到下落次月起，停发基本生活费。监护权被依法恢复资格的，自次月停发。父母重病的，未提供重特大疾病救助报销凭证或未提供市级卫生医疗机构诊断病历（检查报告）的，自次月起，停发基本生活费。</w:t>
      </w:r>
    </w:p>
    <w:p w14:paraId="60867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各镇、街道要做好信息录入和更新，对纳入保障范围的孤儿和事实无人抚养儿童，要按照“认定一个，录入一个”的原则，实施保障的当月将其个人及家庭信息录入“全国儿童福利信息系统”；对情形发生变化终止保障的，应当及时从系统进行“减员”处理。</w:t>
      </w:r>
    </w:p>
    <w:p w14:paraId="1775B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（六）因年龄等原因被取消孤儿和事实无人抚养儿童基本生活费的，镇、街道须提前三个月告知孤儿和事实无人抚养儿童或其监护人。</w:t>
      </w:r>
    </w:p>
    <w:p w14:paraId="67A97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加强信用评价和失信行为联合惩戒建设，将存在恶意弃养情形或者采取虚报、隐瞒、伪造等手段骗取保障资金、物资或服务的父母及其他监护人失信行为记入信用记录，纳入全国信用信息共享平台，实施失信联合惩戒。</w:t>
      </w:r>
    </w:p>
    <w:p w14:paraId="10C7DC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四、责任追究</w:t>
      </w:r>
    </w:p>
    <w:p w14:paraId="22CF0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区财政、民政部门每年要对孤儿基本生活费的给付工作和资金管理情况进行检查或抽查。并自觉接受监察、审计部门的监督检查，对发现的问题要及时处理和纠正，对违反规定管理和使用孤儿基本生活费资金的，依据相关法律法规规定追究法律责任。</w:t>
      </w:r>
    </w:p>
    <w:p w14:paraId="6FC2B9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五、保障措施</w:t>
      </w:r>
    </w:p>
    <w:p w14:paraId="2E169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严格按照简政放权、放管结合、转变职能的要求，强化组织领导，完善监管办法，落实监管责任，畅通举报渠道，严肃查处问题，确保孤儿基本生活费给付的监管工作有序推进。</w:t>
      </w:r>
    </w:p>
    <w:p w14:paraId="19797B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六、主要依据</w:t>
      </w:r>
    </w:p>
    <w:p w14:paraId="78A5C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《黄山市孤儿基本生活保障实施办法》（黄民福〔2021〕4号）、《屯溪区孤儿基本生活保障实施办法》（屯民福〔2021〕89号）。</w:t>
      </w:r>
    </w:p>
    <w:p w14:paraId="75EF9D45">
      <w:pPr>
        <w:keepNext w:val="0"/>
        <w:keepLines w:val="0"/>
        <w:pageBreakBefore w:val="0"/>
        <w:kinsoku/>
        <w:wordWrap/>
        <w:overflowPunct/>
        <w:topLinePunct w:val="0"/>
        <w:bidi w:val="0"/>
        <w:snapToGrid/>
        <w:spacing w:line="560" w:lineRule="exact"/>
        <w:textAlignment w:val="auto"/>
        <w:rPr>
          <w:rFonts w:ascii="仿宋" w:hAnsi="仿宋" w:eastAsia="仿宋"/>
          <w:color w:val="auto"/>
          <w:highlight w:val="none"/>
        </w:rPr>
      </w:pPr>
    </w:p>
    <w:p w14:paraId="4D69EE14">
      <w:pPr>
        <w:keepNext w:val="0"/>
        <w:keepLines w:val="0"/>
        <w:pageBreakBefore w:val="0"/>
        <w:kinsoku/>
        <w:wordWrap/>
        <w:overflowPunct/>
        <w:topLinePunct w:val="0"/>
        <w:bidi w:val="0"/>
        <w:snapToGrid/>
        <w:spacing w:line="560" w:lineRule="exact"/>
        <w:textAlignment w:val="auto"/>
        <w:rPr>
          <w:rFonts w:ascii="仿宋" w:hAnsi="仿宋" w:eastAsia="仿宋"/>
          <w:color w:val="auto"/>
          <w:highlight w:val="none"/>
        </w:rPr>
      </w:pPr>
    </w:p>
    <w:p w14:paraId="6FF14662">
      <w:pPr>
        <w:keepNext w:val="0"/>
        <w:keepLines w:val="0"/>
        <w:pageBreakBefore w:val="0"/>
        <w:kinsoku/>
        <w:wordWrap/>
        <w:overflowPunct/>
        <w:topLinePunct w:val="0"/>
        <w:bidi w:val="0"/>
        <w:snapToGrid/>
        <w:spacing w:line="560" w:lineRule="exact"/>
        <w:textAlignment w:val="auto"/>
        <w:rPr>
          <w:rFonts w:ascii="仿宋" w:hAnsi="仿宋" w:eastAsia="仿宋"/>
          <w:color w:val="auto"/>
          <w:highlight w:val="none"/>
        </w:rPr>
      </w:pPr>
    </w:p>
    <w:p w14:paraId="5CE52C54">
      <w:pPr>
        <w:keepNext w:val="0"/>
        <w:keepLines w:val="0"/>
        <w:pageBreakBefore w:val="0"/>
        <w:kinsoku/>
        <w:wordWrap/>
        <w:overflowPunct/>
        <w:topLinePunct w:val="0"/>
        <w:bidi w:val="0"/>
        <w:snapToGrid/>
        <w:spacing w:line="560" w:lineRule="exact"/>
        <w:textAlignment w:val="auto"/>
        <w:rPr>
          <w:rFonts w:ascii="仿宋" w:hAnsi="仿宋" w:eastAsia="仿宋"/>
          <w:color w:val="auto"/>
          <w:highlight w:val="none"/>
        </w:rPr>
      </w:pPr>
    </w:p>
    <w:p w14:paraId="6582F607">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黑体" w:hAnsi="黑体" w:eastAsia="黑体" w:cs="黑体"/>
          <w:color w:val="auto"/>
          <w:sz w:val="32"/>
          <w:szCs w:val="32"/>
          <w:highlight w:val="none"/>
          <w:lang w:val="en-US" w:eastAsia="zh-CN"/>
        </w:rPr>
      </w:pPr>
    </w:p>
    <w:p w14:paraId="3B1E6CD1">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二十三、最低生活保障审核确认事中事后监管细则</w:t>
      </w:r>
    </w:p>
    <w:p w14:paraId="3E1888EB">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500ABD5C">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一、基本原则</w:t>
      </w:r>
    </w:p>
    <w:p w14:paraId="344EA8F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（一）应救尽救，应养尽养；</w:t>
      </w:r>
    </w:p>
    <w:p w14:paraId="49299D5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（二）属地管理，分级负责；</w:t>
      </w:r>
    </w:p>
    <w:p w14:paraId="2356D20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（三）严格规范，高效便民；</w:t>
      </w:r>
    </w:p>
    <w:p w14:paraId="47549C7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（四）公开、公平、公正。</w:t>
      </w:r>
    </w:p>
    <w:p w14:paraId="7A0B1926">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二、流程监管</w:t>
      </w:r>
    </w:p>
    <w:p w14:paraId="5EE0D7AF">
      <w:pPr>
        <w:keepNext w:val="0"/>
        <w:keepLines w:val="0"/>
        <w:pageBreakBefore w:val="0"/>
        <w:kinsoku/>
        <w:wordWrap/>
        <w:overflowPunct/>
        <w:topLinePunct w:val="0"/>
        <w:bidi w:val="0"/>
        <w:snapToGrid/>
        <w:spacing w:line="56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（一）监管任务</w:t>
      </w:r>
    </w:p>
    <w:p w14:paraId="19764D0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1、申请：</w:t>
      </w:r>
    </w:p>
    <w:p w14:paraId="3C8BBF1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申请人，向户籍所在（有相关要求的可以是居住地）地镇人民政府、街道办事处提出书面申请；实施网上申请受理的镇、街道，可以通过互联网提出申请。</w:t>
      </w:r>
    </w:p>
    <w:p w14:paraId="6CD8BE1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2、审核。</w:t>
      </w:r>
    </w:p>
    <w:p w14:paraId="0BC93FA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人民政府、街道办事处应当在4个工作日内，组织社会救助联审联批工作领导小组成员召开审核会议，全面审核申请人低保、特困人员供养（低收入）申请材料、家庭经济状况信息核对、入户调查、民主评议等情况，提出审核意见。</w:t>
      </w:r>
    </w:p>
    <w:p w14:paraId="441B893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sz w:val="32"/>
          <w:szCs w:val="32"/>
          <w:highlight w:val="none"/>
        </w:rPr>
        <w:t>审批。</w:t>
      </w:r>
    </w:p>
    <w:p w14:paraId="7B76CDA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审核公示期结束后，镇人民政府、街道办事处通过召开党委书记（党工委书记）办公会或镇长（主任）联席会集体研究，于2个工作日作出审批决定。</w:t>
      </w:r>
    </w:p>
    <w:p w14:paraId="3D33985D">
      <w:pPr>
        <w:keepNext w:val="0"/>
        <w:keepLines w:val="0"/>
        <w:pageBreakBefore w:val="0"/>
        <w:kinsoku/>
        <w:wordWrap/>
        <w:overflowPunct/>
        <w:topLinePunct w:val="0"/>
        <w:bidi w:val="0"/>
        <w:snapToGrid/>
        <w:spacing w:line="56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（二）监管措施</w:t>
      </w:r>
    </w:p>
    <w:p w14:paraId="310B2C1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执行申请社会救助家庭经济状况核对环节前置。由拟申请人向所在镇人民政府、街道办事处提供经济状况核对授权书，将拟申请人信息录入到黄山市居民家庭经济状况核对系统（以下简称核对系统），进行信息核对并出具核对报告。对核对报告中出现明显不得获得低保、特困（低收入）情形的，及时通知拟申请人，并说明理由。</w:t>
      </w:r>
    </w:p>
    <w:p w14:paraId="62A3BAFA">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②镇人民政府、街道办事处收到申请材料后，在3个工作日内，在村（居）民委员会协助下，对基本符合条件的申请对象100％进行家庭经济状况调查，主要是入户调查。</w:t>
      </w:r>
    </w:p>
    <w:p w14:paraId="581DA617">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三、事后监管</w:t>
      </w:r>
    </w:p>
    <w:p w14:paraId="23BA753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民政局组织人员于次月对镇人民政府、街道办事处已审批的新增低保对象按不低于30%的比例开展复核，对低保经办人员和村（居）委员会近亲属备案人员开展全面复核。另外，由区民政局委托的第三方评估机构按季度对镇人民政府、街道办事处审批通过的新增低保对象及低保近亲属备案人员开展逐户评估，出具评估报告。对以上复核及评估中发现的问题反馈给区民政局，由区民政局向镇人民政府、街道办事处发出整改函，由镇人民政府、街道办事处及时做出整改。</w:t>
      </w:r>
    </w:p>
    <w:p w14:paraId="6528C3A6">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四、责任追究</w:t>
      </w:r>
    </w:p>
    <w:p w14:paraId="0CC46E5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财政、民政部门每年要对低保、特困供养（低收入认定）工作和资金管理情况进行检查或抽查。并自觉接受监察、审计部门的监督检查，对发现的问题要及时处理和纠正，对违反规定管理，依据相关法律法规规定追究法律责任。</w:t>
      </w:r>
    </w:p>
    <w:p w14:paraId="33C05FF8">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五、保障措施</w:t>
      </w:r>
    </w:p>
    <w:p w14:paraId="74EAD41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严格按照简政放权、放管结合、转变职能的要求，强化组织领导，完善监管办法，落实监管责任，畅通举报渠道，严肃查处问题，确保低保、特困供养（低收入认定）的监管工作有序推进。</w:t>
      </w:r>
    </w:p>
    <w:p w14:paraId="322346E1">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六、主要依据</w:t>
      </w:r>
    </w:p>
    <w:p w14:paraId="24E4492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1.《屯溪区低收入认定及救助暂行办法》（屯民社救[2021]191号）；</w:t>
      </w:r>
    </w:p>
    <w:p w14:paraId="25C61DA8">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2.《屯溪区最低生活保障工作操作规程》（屯民社救[2022]33号）；</w:t>
      </w:r>
    </w:p>
    <w:p w14:paraId="6B91891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3.《屯溪区特困人员救助供养工作操作规程》（屯民社救[2022]56号）。</w:t>
      </w:r>
    </w:p>
    <w:p w14:paraId="6D66EC7F">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7DCA086">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7E734945">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3F161B4">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57ECBCF1">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9E461E7">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56CC99C">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398BA11">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A4EA135">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43D52BD8">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二十四、特困人员救助供养待遇审核确认事中事后监管细则</w:t>
      </w:r>
    </w:p>
    <w:p w14:paraId="4D8D33A5">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7426CB2B">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一、基本原则</w:t>
      </w:r>
    </w:p>
    <w:p w14:paraId="2B5E138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（一）应救尽救，应养尽养；</w:t>
      </w:r>
    </w:p>
    <w:p w14:paraId="039E833A">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（二）属地管理，分级负责；</w:t>
      </w:r>
    </w:p>
    <w:p w14:paraId="7BBC8C55">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（三）严格规范，高效便民；</w:t>
      </w:r>
    </w:p>
    <w:p w14:paraId="5C28B97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（四）公开、公平、公正。</w:t>
      </w:r>
    </w:p>
    <w:p w14:paraId="554E7EA8">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二、流程监管</w:t>
      </w:r>
    </w:p>
    <w:p w14:paraId="7699B8CB">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（一）监管任务</w:t>
      </w:r>
    </w:p>
    <w:p w14:paraId="1398B21D">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1、申请：</w:t>
      </w:r>
    </w:p>
    <w:p w14:paraId="2103167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申请人，向户籍所在（有相关要求的可以是居住地）地镇人民政府、街道办事处提出书面申请；实施网上申请受理的镇、街道，可以通过互联网提出申请。</w:t>
      </w:r>
    </w:p>
    <w:p w14:paraId="5EA157DA">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2、审核。</w:t>
      </w:r>
    </w:p>
    <w:p w14:paraId="54A6F6D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镇人民政府、街道办事处应当在4个工作日内，组织社会救助联审联批工作领导小组成员召开审核会议，全面审核申请人低保、特困人员供养（低收入）申请材料、家庭经济状况信息核对、入户调查、民主评议等情况，提出审核意见。</w:t>
      </w:r>
    </w:p>
    <w:p w14:paraId="65ED04A5">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3、审批。</w:t>
      </w:r>
    </w:p>
    <w:p w14:paraId="33A4251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审核公示期结束后，镇人民政府、街道办事处通过召开党委书记（党工委书记）办公会或镇长（主任）联席会集体研究，于2个工作日作出审批决定。</w:t>
      </w:r>
    </w:p>
    <w:p w14:paraId="136B667C">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（二）监管措施</w:t>
      </w:r>
    </w:p>
    <w:p w14:paraId="2B35BA3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①执行申请社会救助家庭经济状况核对环节前置。由拟申请人向所在镇人民政府、街道办事处提供经济状况核对授权书，将拟申请人信息录入到黄山市居民家庭经济状况核对系统（以下简称核对系统），进行信息核对并出具核对报告。对核对报告中出现明显不得获得低保、特困（低收入）情形的，及时通知拟申请人，并说明理由。</w:t>
      </w:r>
    </w:p>
    <w:p w14:paraId="05C45B8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②镇人民政府、街道办事处收到申请材料后，在3个工作日内，在村（居）民委员会协助下，对基本符合条件的申请对象100％进行家庭经济状况调查，主要是入户调查。</w:t>
      </w:r>
    </w:p>
    <w:p w14:paraId="63943D53">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三、事后监管</w:t>
      </w:r>
    </w:p>
    <w:p w14:paraId="46E236D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区民政局组织人员于次月对镇人民政府、街道办事处已审批的新增低保对象按不低于30%的比例开展复核，对低保经办人员和村（居）委员会近亲属备案人员开展全面复核。另外，由区民政局委托的第三方评估机构按季度对镇人民政府、街道办事处审批通过的新增低保对象及低保近亲属备案人员开展逐户评估，出具评估报告。对以上复核及评估中发现的问题反馈给区民政局，由区民政局向镇人民政府、街道办事处发出整改函，由镇人民政府、街道办事处及时做出整改。</w:t>
      </w:r>
    </w:p>
    <w:p w14:paraId="15D71F14">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四、责任追究</w:t>
      </w:r>
    </w:p>
    <w:p w14:paraId="58D89C22">
      <w:pPr>
        <w:keepNext w:val="0"/>
        <w:keepLines w:val="0"/>
        <w:pageBreakBefore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区财政、民政部门每年要对低保、特困供养（低收入认定）工作和资金管理情况进行检查或抽查。并自觉接受监察、审计部门的监督检查，对发现的问题要及时处理和纠正，对违反规定管理，依据相关法律法规规定追究法律责任。</w:t>
      </w:r>
    </w:p>
    <w:p w14:paraId="2CA1CAF3">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五、保障措施</w:t>
      </w:r>
    </w:p>
    <w:p w14:paraId="787E200C">
      <w:pPr>
        <w:keepNext w:val="0"/>
        <w:keepLines w:val="0"/>
        <w:pageBreakBefore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严格按照简政放权、放管结合、转变职能的要求，强化组织领导，完善监管办法，落实监管责任，畅通举报渠道，严肃查处问题，确保低保、特困供养（低收入认定）的监管工作有序推进。</w:t>
      </w:r>
    </w:p>
    <w:p w14:paraId="7555C68E">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六、主要依据</w:t>
      </w:r>
    </w:p>
    <w:p w14:paraId="7BAD85B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1.《屯溪区低收入认定及救助暂行办法》（屯民社救[2021]191号）；</w:t>
      </w:r>
    </w:p>
    <w:p w14:paraId="31ECB59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2.《屯溪区最低生活保障工作操作规程》（屯民社救[2022]33号）；</w:t>
      </w:r>
    </w:p>
    <w:p w14:paraId="5B8F17B5">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3.《屯溪区特困人员救助供养工作操作规程》（屯民社救[2022]56号）。</w:t>
      </w:r>
    </w:p>
    <w:p w14:paraId="508BDD60">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p>
    <w:p w14:paraId="1B4E932E">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FA3D7AD">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2EFF8BC4">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25260EC9">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3861C5FD">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791F6095">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75694434">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5EBD31B9">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黑体" w:hAnsi="黑体" w:eastAsia="黑体" w:cs="黑体"/>
          <w:color w:val="auto"/>
          <w:sz w:val="32"/>
          <w:szCs w:val="32"/>
          <w:highlight w:val="none"/>
          <w:lang w:val="en-US" w:eastAsia="zh-CN"/>
        </w:rPr>
      </w:pPr>
    </w:p>
    <w:p w14:paraId="779F1642">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二十五、临时救助审核确认事中事后监管细则（其他权力）</w:t>
      </w:r>
    </w:p>
    <w:p w14:paraId="1B6F3148">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一、基本原则</w:t>
      </w:r>
    </w:p>
    <w:p w14:paraId="5793079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（一）坚持</w:t>
      </w:r>
      <w:r>
        <w:rPr>
          <w:rFonts w:hint="eastAsia" w:ascii="仿宋_GB2312" w:hAnsi="仿宋_GB2312" w:eastAsia="仿宋_GB2312" w:cs="仿宋_GB2312"/>
          <w:bCs/>
          <w:color w:val="auto"/>
          <w:sz w:val="32"/>
          <w:szCs w:val="32"/>
          <w:highlight w:val="none"/>
        </w:rPr>
        <w:t>“法无授权不可为、法定职权必须为”</w:t>
      </w:r>
      <w:r>
        <w:rPr>
          <w:rFonts w:hint="eastAsia" w:ascii="仿宋_GB2312" w:hAnsi="仿宋_GB2312" w:eastAsia="仿宋_GB2312" w:cs="仿宋_GB2312"/>
          <w:color w:val="auto"/>
          <w:sz w:val="32"/>
          <w:szCs w:val="32"/>
          <w:highlight w:val="none"/>
        </w:rPr>
        <w:t>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14:paraId="2154794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（二）坚持</w:t>
      </w:r>
      <w:r>
        <w:rPr>
          <w:rFonts w:hint="eastAsia" w:ascii="仿宋_GB2312" w:hAnsi="仿宋_GB2312" w:eastAsia="仿宋_GB2312" w:cs="仿宋_GB2312"/>
          <w:bCs/>
          <w:color w:val="auto"/>
          <w:sz w:val="32"/>
          <w:szCs w:val="32"/>
          <w:highlight w:val="none"/>
        </w:rPr>
        <w:t>“全程监管、全程服务”</w:t>
      </w:r>
      <w:r>
        <w:rPr>
          <w:rFonts w:hint="eastAsia" w:ascii="仿宋_GB2312" w:hAnsi="仿宋_GB2312" w:eastAsia="仿宋_GB2312" w:cs="仿宋_GB2312"/>
          <w:color w:val="auto"/>
          <w:sz w:val="32"/>
          <w:szCs w:val="32"/>
          <w:highlight w:val="none"/>
        </w:rPr>
        <w:t>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78F4E98E">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二、流程监管</w:t>
      </w:r>
    </w:p>
    <w:p w14:paraId="4EBFD600">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（一）监管任务</w:t>
      </w:r>
    </w:p>
    <w:p w14:paraId="7A49549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1、审查申报资料是否齐全。主要包括：</w:t>
      </w:r>
    </w:p>
    <w:p w14:paraId="591A4729">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①居民户口本身份证复印件，申请书；</w:t>
      </w:r>
    </w:p>
    <w:p w14:paraId="337DF35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②家庭（个人）困难情况声明、家庭收入情况及财产情况声明；</w:t>
      </w:r>
    </w:p>
    <w:p w14:paraId="5F467F1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③家庭经济状况核对授权书；</w:t>
      </w:r>
    </w:p>
    <w:p w14:paraId="27BCF7F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④家庭成员接受大中小学教育的有效学杂费单据或医药费支出单据等。</w:t>
      </w:r>
    </w:p>
    <w:p w14:paraId="089B1CC8">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2、审核。</w:t>
      </w:r>
    </w:p>
    <w:p w14:paraId="3D245C2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屯溪区民政局授权委托下放的镇街对当事人提交的申报材料的齐全性，内容的完整性进行查验，提出初审意见；符合要求的，直接受理，不符合要求的，一次性告之原因及补正材料。</w:t>
      </w:r>
    </w:p>
    <w:p w14:paraId="12DC21DA">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3、审批。</w:t>
      </w:r>
    </w:p>
    <w:p w14:paraId="750DD78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黄山市屯溪区民政局授权委托下放的镇街对符合登记条件的依法作出行政确认或者不予行政确认决定。</w:t>
      </w:r>
    </w:p>
    <w:p w14:paraId="50DAEF34">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（二）监管措施</w:t>
      </w:r>
    </w:p>
    <w:p w14:paraId="13B1C0D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①根据要求受理、审查申报材料，实行一次性告知制；防止出现不按规定受理问题。</w:t>
      </w:r>
    </w:p>
    <w:p w14:paraId="4907E0C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②根据对申报材料的审查情况提出初步意见；防止出现不按规定提出审查意见或审查意见具有明显倾向性问题。</w:t>
      </w:r>
    </w:p>
    <w:p w14:paraId="037B046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③根据入户核查及镇街联审联批会议集体研究意见，确定审批意见。在规定时限内作出审批决定并及时发放救助资金。防止出现不按要求提出审批意见或审批意见具有明显倾向性问题。</w:t>
      </w:r>
    </w:p>
    <w:p w14:paraId="62652B83">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三、事后监管</w:t>
      </w:r>
    </w:p>
    <w:p w14:paraId="3C29AB3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（一）开展电话回访，检查救助资金是否及时兑现到申请人手中。</w:t>
      </w:r>
    </w:p>
    <w:p w14:paraId="7341B75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（二）开展救助情况公示，公布举报或投诉电话，接受社会监督。</w:t>
      </w:r>
    </w:p>
    <w:p w14:paraId="3640AD1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（三）开展工作督查，下发工作通报，责成问题及时整改到位。</w:t>
      </w:r>
    </w:p>
    <w:p w14:paraId="5DD65D4D">
      <w:pPr>
        <w:keepNext w:val="0"/>
        <w:keepLines w:val="0"/>
        <w:pageBreakBefore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四、责任追溯</w:t>
      </w:r>
    </w:p>
    <w:p w14:paraId="076DC9C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（一）加强人员管理。对从事临时救助的工作机构及人员实行过错责任追究，包括：责令改正、责令作出书面检查、给予通报批评或给予行政处分等，涉嫌犯罪的，移交司法机关处理。</w:t>
      </w:r>
    </w:p>
    <w:p w14:paraId="0C6FC2C9">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（二）加强工作监管。对是否落实临时救助对象确认、审核审批、公开公示等方面、救助资金的规范使用监管，发现有弄虚作假骗取救助的人员按规定收缴已放救助金，犯罪的，移交司法机关处理。</w:t>
      </w:r>
    </w:p>
    <w:p w14:paraId="0CB16166">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_GB2312" w:hAnsi="仿宋_GB2312" w:eastAsia="仿宋_GB2312" w:cs="仿宋_GB2312"/>
          <w:color w:val="auto"/>
          <w:sz w:val="32"/>
          <w:szCs w:val="32"/>
          <w:highlight w:val="none"/>
          <w:lang w:val="en-US" w:eastAsia="zh-CN"/>
        </w:rPr>
      </w:pPr>
    </w:p>
    <w:p w14:paraId="641BD3F7">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E2DE039">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A3F7EB3">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5A822AC7">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33FC634B">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566D972">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6A81290F">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73443521">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ED2C1A1">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5F539DE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720E23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40714AAE">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7B4472C2">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F2029B9">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BD1DEE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二十六、辖区内有关争议及矛盾纠纷的调解</w:t>
      </w:r>
    </w:p>
    <w:p w14:paraId="08C602D1">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事中事后监管细则</w:t>
      </w:r>
    </w:p>
    <w:p w14:paraId="2BB9D90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66E7A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一、监管任务</w:t>
      </w:r>
    </w:p>
    <w:p w14:paraId="6C23E0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32"/>
          <w:szCs w:val="32"/>
          <w:highlight w:val="none"/>
        </w:rPr>
      </w:pPr>
      <w:r>
        <w:rPr>
          <w:rFonts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依照法律、行政法规、规章等规定，通过对可能引发社会安全事件的矛盾纠纷调解工作事中事后监管，有效维护社会稳定和社会和谐。</w:t>
      </w:r>
    </w:p>
    <w:p w14:paraId="3F54E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二、事中事后监管</w:t>
      </w:r>
    </w:p>
    <w:p w14:paraId="2E5352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1.受理责任：接受一方或双方当事人的申请（口头或书面方式），决定是否受理，对街道办事处或调委会已处理过、当事人没有提出新的事实和理由的，不予受理。</w:t>
      </w:r>
    </w:p>
    <w:p w14:paraId="0E9EF5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2.劝说责任：对未经人民调解委员会调解的纠纷，应当劝说当事人先通过人民调解委员会调解。</w:t>
      </w:r>
    </w:p>
    <w:p w14:paraId="6CA628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3.告知责任：法律、法规、规章和政策明确规定由指定部门处理的纠纷，应当告知当事人向指定部门申请处理。</w:t>
      </w:r>
    </w:p>
    <w:p w14:paraId="0B552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4.回避责任：负责调解或处理纠纷的调解员或工作人员与当事人有亲属、利害关系，可能影响公正处理的，必须自行回避。</w:t>
      </w:r>
    </w:p>
    <w:p w14:paraId="7A7390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5.审查责任：充分听取双方当事人的陈述，允许当事人就争议问题展开辩论，并对纠纷事实进行必要的调查。根据需要可邀请有关单位和群众参加，协助做好纠纷调解和处理工作。</w:t>
      </w:r>
    </w:p>
    <w:p w14:paraId="4DD167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6.决定责任：进行调解，促使当事人互谅互让，自愿达成协议。对自愿达成协议的，制作调解书。对经过调解，仍达不成协议的纠纷，调解组织可以告知当事人通过其他法律途径解决。</w:t>
      </w:r>
    </w:p>
    <w:p w14:paraId="051EB7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7.执行责任：调解协议书自各方当事人签名、盖章或者按指印，人民调解员签名并加盖人民调解委员会印章之日起生效。街道办事处调解组织作出的处理决定，当事人同意签字后，当事人必须执行。告知其如有异议，可以在处理决定作出后，向人民法院起诉。</w:t>
      </w:r>
    </w:p>
    <w:p w14:paraId="39EC6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8.事后监管责任：街道办事处对可能影响社会安全事件的矛盾纠纷的调解进行事后监督，可走访，可了解调解是否成功情况，事态的发展状态。</w:t>
      </w:r>
    </w:p>
    <w:p w14:paraId="27341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9.其他法律法规规章文件规定应履行的责任。</w:t>
      </w:r>
    </w:p>
    <w:p w14:paraId="7D10F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三、责任追究</w:t>
      </w:r>
    </w:p>
    <w:p w14:paraId="57E47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因不履行或不正确履行行政（调解）职责，有以下情形的，行政机关及相关工作人员、村级干部应承担相应责任：</w:t>
      </w:r>
    </w:p>
    <w:p w14:paraId="0D79E4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1.对可能引发社会安全事件的矛盾纠纷不予重视、不予受理、推诿扯皮的；</w:t>
      </w:r>
    </w:p>
    <w:p w14:paraId="22DFAA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2.违反法定程序实施调解的；</w:t>
      </w:r>
    </w:p>
    <w:p w14:paraId="48838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3.在调解过程中存在滥用职权、徇私舞弊、收受贿赂及其他腐败行为的；</w:t>
      </w:r>
    </w:p>
    <w:p w14:paraId="02678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4.在调解过程中不认真开展调查、审查的；</w:t>
      </w:r>
    </w:p>
    <w:p w14:paraId="1C34F6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5.未出具调解书，只进行口头调解的；</w:t>
      </w:r>
    </w:p>
    <w:p w14:paraId="2083A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6.其他违反法律法规规章文件规定的行为。</w:t>
      </w:r>
    </w:p>
    <w:p w14:paraId="591814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四、保障措施</w:t>
      </w:r>
    </w:p>
    <w:p w14:paraId="280BF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1.按照《中华人民共和国人民调解法》，设立街居两级人民调解委员会、行政组织调解等机构，增加德高望重人员为调解员，组织实施调解工作，特别是对可能影响社会安全事件的矛盾纠纷的调解。</w:t>
      </w:r>
    </w:p>
    <w:p w14:paraId="2AA1CE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2.建立健全矛盾纠纷排查制度和管理制度，加强矛盾纠纷排查工作制度化、规范化，加大力度进行矛盾纠纷排查。</w:t>
      </w:r>
    </w:p>
    <w:p w14:paraId="56C496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3.提高责任意识，强化责任追究，对调解工作中玩忽职守、徇私舞弊、偏袒一方的严肃追究相关责任。</w:t>
      </w:r>
    </w:p>
    <w:p w14:paraId="4779C2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4.加大监管和惩处力度，提高调解工作时效性和维</w:t>
      </w:r>
      <w:r>
        <w:rPr>
          <w:rFonts w:hint="default"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护社会的稳定性。</w:t>
      </w:r>
    </w:p>
    <w:p w14:paraId="7FB70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五、主要依据</w:t>
      </w:r>
    </w:p>
    <w:p w14:paraId="156CA4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40"/>
        <w:jc w:val="left"/>
        <w:textAlignment w:val="auto"/>
        <w:rPr>
          <w:rFonts w:hint="eastAsia" w:ascii="微软雅黑" w:hAnsi="微软雅黑" w:eastAsia="微软雅黑" w:cs="微软雅黑"/>
          <w:i w:val="0"/>
          <w:iCs w:val="0"/>
          <w:caps w:val="0"/>
          <w:color w:val="auto"/>
          <w:spacing w:val="0"/>
          <w:sz w:val="32"/>
          <w:szCs w:val="32"/>
          <w:highlight w:val="none"/>
        </w:rPr>
      </w:pPr>
      <w:r>
        <w:rPr>
          <w:rFonts w:hint="default"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《中华人民共和国人民调解法》</w:t>
      </w:r>
    </w:p>
    <w:p w14:paraId="06C1D2C7">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6B1AE529">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41B5B166">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3E09925">
      <w:pPr>
        <w:keepNext w:val="0"/>
        <w:keepLines w:val="0"/>
        <w:pageBreakBefore w:val="0"/>
        <w:kinsoku/>
        <w:wordWrap/>
        <w:overflowPunct/>
        <w:topLinePunct w:val="0"/>
        <w:bidi w:val="0"/>
        <w:snapToGrid/>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23228D79">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二十七、公共租赁住房申请初审事中事后监管细则</w:t>
      </w:r>
    </w:p>
    <w:p w14:paraId="779C4F61">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6235B4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一、监管任务</w:t>
      </w:r>
    </w:p>
    <w:p w14:paraId="1D0C5F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乡镇依照法律法规的规定开展公共租赁住房申请初审事中事后监督管理，规范公共租赁住房申请初审行为，保护住房租赁申请人的合法权益，纠正和查处违法行为。</w:t>
      </w:r>
    </w:p>
    <w:p w14:paraId="621C3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二、事中监管</w:t>
      </w:r>
    </w:p>
    <w:p w14:paraId="3AF8B1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严格执行乡镇统一受理、办理结果公开等制度和规定。</w:t>
      </w:r>
    </w:p>
    <w:p w14:paraId="47B59A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1、受理监管。乡镇是否公示公共租赁住房申请初审依法应当提交的材料清单，是否一次性告知需补正材料，是否依法受理或不予受理(不予受理应当告知理由)。</w:t>
      </w:r>
    </w:p>
    <w:p w14:paraId="51F4ED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2、审查监管。乡镇是否按规定时限对公共租赁住房申请初审申请材料依法进行审查、提出审查意见。</w:t>
      </w:r>
    </w:p>
    <w:p w14:paraId="4F3C95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3、决定监管。是否按规定执行公共租赁住房申请初审程序，依法作出审核或者不予审核决定，进行法定告知（不予审核的要说明理由并告知享有依法申请行政复议或者提起行政诉讼的权利）。</w:t>
      </w:r>
    </w:p>
    <w:p w14:paraId="05B0E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三、事后监管</w:t>
      </w:r>
    </w:p>
    <w:p w14:paraId="27E880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（一）跟踪检查</w:t>
      </w:r>
    </w:p>
    <w:p w14:paraId="5011A4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公共租赁住房申请初审后，应不定时对申请人进行回访，评估申请人家庭住房状况。</w:t>
      </w:r>
    </w:p>
    <w:p w14:paraId="2AB8A4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（二）协同监管</w:t>
      </w:r>
    </w:p>
    <w:p w14:paraId="6E1FB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1、信息共享。乡镇建立台账，审核事项完成后及时将审核情况报</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住建局、</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民政局、</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财政局等部门备案。</w:t>
      </w:r>
    </w:p>
    <w:p w14:paraId="24B8D6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2、联动监管。加强与公安等部门的沟通协作，依法查处违法案件，涉嫌犯罪的，按照有关规定及时将案件移送公安机关。</w:t>
      </w:r>
    </w:p>
    <w:p w14:paraId="113662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（三）信用监管。</w:t>
      </w:r>
    </w:p>
    <w:p w14:paraId="2AE26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1、信用记录。建立申请人信用档案，记录许可颁发、日常监督检查结果、违法行为查处等情况。</w:t>
      </w:r>
    </w:p>
    <w:p w14:paraId="59F30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2、信用惩戒。对有不良信用记录的申请人增加监督检查频次，对违法行为情节严重的，及时通报相关协同监管机构。</w:t>
      </w:r>
    </w:p>
    <w:p w14:paraId="5585B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（四）社会监督。</w:t>
      </w:r>
    </w:p>
    <w:p w14:paraId="7D74D4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乡镇公布本单位的电子邮件地址或者电话，接受公共租赁住房申请初审事项咨询、投诉、举报。接到咨询、投诉、举报，对属于本单位职责的，应当受理并在法定期限内及时答复、核实、处理；对不属于本单位职责的，应当移交有权处理的部门并书面通知咨询、投诉、举报人。有权处理部门应当在法定期限内及时处理，不得推诿、扯皮。</w:t>
      </w:r>
    </w:p>
    <w:p w14:paraId="7D65E9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四、责任追究</w:t>
      </w:r>
    </w:p>
    <w:p w14:paraId="4E756B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乡镇应加强对其他权力行为的监督问责。对符合法定条件的审核申请不予受理的；对不符合法定条件的申请人准予审核或者超越法定职权作出准予审核决定的；对符合法定条件的申请人不予审核或者不在法定期限内作出准予审核决定的；不依法履行监督职责或者监督不力，损害行政相对人和利害关系人的合法权益的，对直接负责的主管人员和其他直接责任人员依法给予处分，构成犯罪的，依法追究刑事责任。</w:t>
      </w:r>
    </w:p>
    <w:p w14:paraId="41019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乡镇应加强对审核工作人员的监督问责。工作人员擅自增设、变更涉及审核程序或审核条件；收受贿赂、获取其他利益，或者为他人谋取不正当利益提供方便的收受贿赂、获取其他利益，构成犯罪的，依法追究刑事责任；尚不构成犯罪的，依法给予行政处分。</w:t>
      </w:r>
    </w:p>
    <w:p w14:paraId="212F39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五、保障措施</w:t>
      </w:r>
    </w:p>
    <w:p w14:paraId="050312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（一）强化组织领导。</w:t>
      </w:r>
      <w:r>
        <w:rPr>
          <w:rFonts w:hint="eastAsia" w:ascii="仿宋_GB2312" w:hAnsi="仿宋_GB2312" w:eastAsia="仿宋_GB2312" w:cs="仿宋_GB2312"/>
          <w:i w:val="0"/>
          <w:iCs w:val="0"/>
          <w:caps w:val="0"/>
          <w:color w:val="auto"/>
          <w:spacing w:val="0"/>
          <w:sz w:val="32"/>
          <w:szCs w:val="32"/>
          <w:highlight w:val="none"/>
          <w:shd w:val="clear" w:fill="FFFFFF"/>
        </w:rPr>
        <w:t>乡镇要高度重视公共租赁住房申请初审工作，按照受理审核、批准决定与监督检查职能相互分离、相互监督、相互配合和简政放权、放管结合、转变职能的要求，强化组织领导，完善监管办法，落实保障措施，畅通举报渠道，严肃查处问题，确保事中事后监管工作有序推进。</w:t>
      </w:r>
    </w:p>
    <w:p w14:paraId="2A1CA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（二）加强人员培训。</w:t>
      </w:r>
      <w:r>
        <w:rPr>
          <w:rFonts w:hint="eastAsia" w:ascii="仿宋_GB2312" w:hAnsi="仿宋_GB2312" w:eastAsia="仿宋_GB2312" w:cs="仿宋_GB2312"/>
          <w:i w:val="0"/>
          <w:iCs w:val="0"/>
          <w:caps w:val="0"/>
          <w:color w:val="auto"/>
          <w:spacing w:val="0"/>
          <w:sz w:val="32"/>
          <w:szCs w:val="32"/>
          <w:highlight w:val="none"/>
          <w:shd w:val="clear" w:fill="FFFFFF"/>
        </w:rPr>
        <w:t>乡镇应当加强对执法人员关于住房保障法律、法规、标准和专业知识与执法能力等的培训，并组织考核。不具备相应知识和能力的，不得从事监管工作。</w:t>
      </w:r>
    </w:p>
    <w:p w14:paraId="03905D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（三）加强普法宣传。</w:t>
      </w:r>
      <w:r>
        <w:rPr>
          <w:rFonts w:hint="eastAsia" w:ascii="仿宋_GB2312" w:hAnsi="仿宋_GB2312" w:eastAsia="仿宋_GB2312" w:cs="仿宋_GB2312"/>
          <w:i w:val="0"/>
          <w:iCs w:val="0"/>
          <w:caps w:val="0"/>
          <w:color w:val="auto"/>
          <w:spacing w:val="0"/>
          <w:sz w:val="32"/>
          <w:szCs w:val="32"/>
          <w:highlight w:val="none"/>
          <w:shd w:val="clear" w:fill="FFFFFF"/>
        </w:rPr>
        <w:t>运用多种方式宣传住房保障法律法规，提升管理相对人和公众的法律意见。</w:t>
      </w:r>
    </w:p>
    <w:p w14:paraId="500F37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六、主要依据</w:t>
      </w:r>
    </w:p>
    <w:p w14:paraId="668562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《安徽省保障性住房建设和管理办法（试行）》</w:t>
      </w:r>
    </w:p>
    <w:p w14:paraId="21B65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《住房城乡建设部财政部国家发展改革委关于公共租赁住房和廉租住房并轨运行的通知》</w:t>
      </w:r>
    </w:p>
    <w:p w14:paraId="3232E0CB">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二十八、城镇住房保障家庭租赁补贴初审事中事后监管细则</w:t>
      </w:r>
    </w:p>
    <w:p w14:paraId="05A28F3B">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33E1A1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sz w:val="32"/>
          <w:szCs w:val="32"/>
          <w:highlight w:val="none"/>
        </w:rPr>
      </w:pPr>
    </w:p>
    <w:p w14:paraId="5430CD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一、监管任务</w:t>
      </w:r>
    </w:p>
    <w:p w14:paraId="045540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乡镇依照法律法规的规定开展城镇住房保障家庭租赁补贴初审事中事后监督管理，规范城镇住房保障家庭租赁补贴初审行为，保护住房租赁申请人的合法权益，纠正和查处违法行为。</w:t>
      </w:r>
    </w:p>
    <w:p w14:paraId="0760DD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二、事中监管</w:t>
      </w:r>
    </w:p>
    <w:p w14:paraId="6E2DA9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严格执行乡镇统一受理、办理结果公开等制度和规定。</w:t>
      </w:r>
    </w:p>
    <w:p w14:paraId="0F34C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1、受理监管。乡镇是否公示城镇住房保障家庭租赁补贴初审依法应当提交的材料清单，是否一次性告知需补正材料，是否依法受理或不予受理(不予受理应当告知理由)。</w:t>
      </w:r>
    </w:p>
    <w:p w14:paraId="5B460D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2、审查监管。乡镇是否按规定时限对城镇住房保障家庭租赁补贴初审申请材料依法进行审查、提出审查意见。</w:t>
      </w:r>
    </w:p>
    <w:p w14:paraId="69C475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3、决定监管。是否按规定执行城镇住房保障家庭租赁补贴初审程序，依法作出审核或者不予审核决定，进行法定告知（不予审核的要说明理由并告知享有依法申请行政复议或者提起行政诉讼的权利）。</w:t>
      </w:r>
    </w:p>
    <w:p w14:paraId="4ED8A7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三、事后监管</w:t>
      </w:r>
    </w:p>
    <w:p w14:paraId="52FA3F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（一）跟踪检查</w:t>
      </w:r>
    </w:p>
    <w:p w14:paraId="17946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城镇住房保障家庭租赁补贴初审后，应不定时对临时救助人员进行回访，评估住房保障家庭居住状况。</w:t>
      </w:r>
    </w:p>
    <w:p w14:paraId="66B6B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（二）协同监管</w:t>
      </w:r>
    </w:p>
    <w:p w14:paraId="794A69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1、信息共享。乡镇建立台账，审核事项完成后及时将审核情况报</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住建局、</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民政局、</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财政局等部门备案。</w:t>
      </w:r>
    </w:p>
    <w:p w14:paraId="339F5D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2、联动监管。加强与公安等部门的沟通协作，依法查处违法案件，涉嫌犯罪的，按照有关规定及时将案件移送公安机关。</w:t>
      </w:r>
    </w:p>
    <w:p w14:paraId="25144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（三）信用监管。</w:t>
      </w:r>
    </w:p>
    <w:p w14:paraId="57381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1、信用记录。建立申请人信用档案，记录许可颁发、日常监督检查结果、违法行为查处等情况。</w:t>
      </w:r>
    </w:p>
    <w:p w14:paraId="5C27E1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2、信用惩戒。对有不良信用记录的申请人增加监督检查频次，对违法行为情节严重的，及时通报相关协同监管机构。</w:t>
      </w:r>
    </w:p>
    <w:p w14:paraId="3C94BB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（四）社会监督。</w:t>
      </w:r>
    </w:p>
    <w:p w14:paraId="7F839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乡镇公布本单位的电子邮件地址或者电话，接受城镇住房保障家庭租赁补贴初审事项咨询、投诉、举报。接到咨询、投诉、举报，对属于本单位职责的，应当受理并在法定期限内及时答复、核实、处理；对不属于本单位职责的，应当移交有权处理的部门并书面通知咨询、投诉、举报人。有权处理部门应当在法定期限内及时处理，不得推诿、扯皮。</w:t>
      </w:r>
    </w:p>
    <w:p w14:paraId="087270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四、责任追究</w:t>
      </w:r>
    </w:p>
    <w:p w14:paraId="71DCD6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乡镇应加强对其他权力行为的监督问责。对符合法定条件的审核申请不予受理的；对不符合法定条件的申请人准予审核或者超越法定职权作出准予审核决定的；对符合法定条件的申请人不予审核或者不在法定期限内作出准予审核决定的；不依法履行监督职责或者监督不力，损害行政相对人和利害关系人的合法权益的，对直接负责的主管人员和其他直接责任人员依法给予处分，构成犯罪的，依法追究刑事责任。</w:t>
      </w:r>
    </w:p>
    <w:p w14:paraId="496384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乡镇应加强对审核工作人员的监督问责。工作人员擅自增设、变更涉及审核程序或审核条件；收受贿赂、获取其他利益，或者为他人谋取不正当利益提供方便的收受贿赂、获取其他利益，构成犯罪的，依法追究刑事责任；尚不构成犯罪的，依法给予行政处分。</w:t>
      </w:r>
    </w:p>
    <w:p w14:paraId="4BD6C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五、保障措施</w:t>
      </w:r>
    </w:p>
    <w:p w14:paraId="0B1EF5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强化组织领导。乡镇要高度重视城镇住房保障家庭租赁补贴初审工作，按照受理审核、批准决定与监督检查职能相互分离、相互监督、相互配合和简政放权、放管结合、转变职能的要求，强化组织领导，完善监管办法，落实保障措施，畅通举报渠道，严肃查处问题，确保事中事后监管工作有序推进。</w:t>
      </w:r>
    </w:p>
    <w:p w14:paraId="51EF39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（二）加强人员培训。乡镇应当加强对执法人员关于住房保障法律、法规、标准和专业知识与执法能力等的培训，并组织考核。不具备相应知识和能力的，不得从事监管工作。</w:t>
      </w:r>
    </w:p>
    <w:p w14:paraId="2CA4F0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（三）加强普法宣传。运用多种方式宣传住房保障法律法规，提升管理相对人和公众的法律意见。</w:t>
      </w:r>
    </w:p>
    <w:p w14:paraId="340FA5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六、主要依据</w:t>
      </w:r>
    </w:p>
    <w:p w14:paraId="4D59CD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《安徽省保障性住房建设和管理办法（试行）》</w:t>
      </w:r>
    </w:p>
    <w:p w14:paraId="67A16A62">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宋体" w:hAnsi="宋体" w:eastAsia="宋体" w:cs="宋体"/>
          <w:color w:val="auto"/>
          <w:sz w:val="44"/>
          <w:szCs w:val="44"/>
          <w:highlight w:val="none"/>
          <w:lang w:val="en-US" w:eastAsia="zh-CN"/>
        </w:rPr>
      </w:pPr>
    </w:p>
    <w:p w14:paraId="400FB82F">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二十九、占用公路两侧边沟批准事中事后监管细则（其他权力）</w:t>
      </w:r>
    </w:p>
    <w:p w14:paraId="7AC9853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一、监管任务</w:t>
      </w:r>
    </w:p>
    <w:p w14:paraId="6D969D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依照法律、行政法规等规定，通过对占用公路两侧边沟批准采取事中事后监管措施，纠正和查处违法行为，确保行业管理有效。</w:t>
      </w:r>
    </w:p>
    <w:p w14:paraId="7661CEF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二、</w:t>
      </w:r>
      <w:r>
        <w:rPr>
          <w:rFonts w:hint="eastAsia" w:ascii="楷体_GB2312" w:hAnsi="楷体_GB2312" w:eastAsia="楷体_GB2312" w:cs="楷体_GB2312"/>
          <w:b/>
          <w:bCs/>
          <w:color w:val="auto"/>
          <w:sz w:val="32"/>
          <w:szCs w:val="32"/>
          <w:highlight w:val="none"/>
        </w:rPr>
        <w:t>监管措施</w:t>
      </w:r>
    </w:p>
    <w:p w14:paraId="4E7B598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事中监管</w:t>
      </w:r>
    </w:p>
    <w:p w14:paraId="61A19CF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宋体" w:eastAsia="仿宋_GB2312" w:cs="宋体"/>
          <w:b/>
          <w:bCs/>
          <w:color w:val="auto"/>
          <w:kern w:val="0"/>
          <w:sz w:val="32"/>
          <w:szCs w:val="32"/>
          <w:highlight w:val="none"/>
        </w:rPr>
        <w:t>（一）加强权力运行流程监管。</w:t>
      </w:r>
      <w:r>
        <w:rPr>
          <w:rFonts w:hint="eastAsia" w:ascii="仿宋_GB2312" w:hAnsi="宋体" w:eastAsia="仿宋_GB2312" w:cs="宋体"/>
          <w:color w:val="auto"/>
          <w:kern w:val="0"/>
          <w:sz w:val="32"/>
          <w:szCs w:val="32"/>
          <w:highlight w:val="none"/>
        </w:rPr>
        <w:t>落实受理、初审、审查和事后监管等阶段应履行的权责事项，规范权利运行流程，强化全程标准化监管。</w:t>
      </w:r>
    </w:p>
    <w:p w14:paraId="6F2BB98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（二）规范受理工作。</w:t>
      </w:r>
      <w:r>
        <w:rPr>
          <w:rFonts w:hint="eastAsia" w:ascii="仿宋_GB2312" w:hAnsi="宋体" w:eastAsia="仿宋_GB2312" w:cs="宋体"/>
          <w:color w:val="auto"/>
          <w:kern w:val="0"/>
          <w:sz w:val="32"/>
          <w:szCs w:val="32"/>
          <w:highlight w:val="none"/>
        </w:rPr>
        <w:t>符合受理条件的，依法受理；不符合受理条件的，告知理由；需要补正材料的，一次性告知。</w:t>
      </w:r>
    </w:p>
    <w:p w14:paraId="1EA7954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（三）开展专家评审工作。</w:t>
      </w:r>
      <w:r>
        <w:rPr>
          <w:rFonts w:hint="eastAsia" w:ascii="仿宋_GB2312" w:hAnsi="宋体" w:eastAsia="仿宋_GB2312" w:cs="宋体"/>
          <w:color w:val="auto"/>
          <w:kern w:val="0"/>
          <w:sz w:val="32"/>
          <w:szCs w:val="32"/>
          <w:highlight w:val="none"/>
        </w:rPr>
        <w:t>区交通运输局按规定程序组成专家组，对公路、水运工程设计及变更开展专家评审，形成评审意见。</w:t>
      </w:r>
    </w:p>
    <w:p w14:paraId="417A515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（四）做出批准决定。</w:t>
      </w:r>
      <w:r>
        <w:rPr>
          <w:rFonts w:hint="eastAsia" w:ascii="仿宋_GB2312" w:hAnsi="宋体" w:eastAsia="仿宋_GB2312" w:cs="宋体"/>
          <w:color w:val="auto"/>
          <w:kern w:val="0"/>
          <w:sz w:val="32"/>
          <w:szCs w:val="32"/>
          <w:highlight w:val="none"/>
        </w:rPr>
        <w:t>占用公路边沟工程设计文件和相关申请材料齐全、经专家组审定或者修改完善的，区交通运输局在规定时限内作出批准决定。</w:t>
      </w:r>
    </w:p>
    <w:p w14:paraId="4B92F5F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（五）及时做好送达及信息公开工作。</w:t>
      </w:r>
      <w:r>
        <w:rPr>
          <w:rFonts w:hint="eastAsia" w:ascii="仿宋_GB2312" w:hAnsi="宋体" w:eastAsia="仿宋_GB2312" w:cs="宋体"/>
          <w:color w:val="auto"/>
          <w:kern w:val="0"/>
          <w:sz w:val="32"/>
          <w:szCs w:val="32"/>
          <w:highlight w:val="none"/>
        </w:rPr>
        <w:t>区交通运输局按规定作出批复，不予批复的告知理由并按规定程序、规定期限，及时公布信息。</w:t>
      </w:r>
    </w:p>
    <w:p w14:paraId="61F7A2C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事后监管</w:t>
      </w:r>
    </w:p>
    <w:p w14:paraId="0A2DAD2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（一）加强监督检查</w:t>
      </w:r>
    </w:p>
    <w:p w14:paraId="7AB115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工程建设过程中，监管单位对与公路工程建设活动应当加强监督检查，并做好书面记录。监督检查以实地监督检查为主，实地监督检查分为定期实地监督检查和不定期实地监督检查。实地监督检查可以依法采取监督放样、勘察现场、查阅有关档案材料、询问有关人员和听取当事人陈述等方法。监管单位可以根据需要要求建设单位书面报告从事许可事项活动的情况，并提供相关施工资料、记录等。监管单位在监督检查过程中发现不符合批复意见要求等情况，应立即下发停工通知书，并督促施工单位限期整改。</w:t>
      </w:r>
    </w:p>
    <w:p w14:paraId="317720EE">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依法处置违法行为。</w:t>
      </w:r>
    </w:p>
    <w:p w14:paraId="7E15AA6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按照相关法律法规规定，加大违法违规行为查处力度。符合立案条件的进行立案，依法进行行政处罚、行政强制。违法违规行为涉嫌犯罪的，按规定将案件移交司法机关，配合司法机关开展调查处置工作。</w:t>
      </w:r>
    </w:p>
    <w:p w14:paraId="5E85208A">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保障行政复议和行政诉讼。</w:t>
      </w:r>
    </w:p>
    <w:p w14:paraId="6838063B">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依法保障行政相对人和利害关系人申请行政复议和提起行政诉讼的权利。行政相对人和利害关系人对交通运输管理部门在监督管理工作中作出的具体行政决定不服的，可以自收到决定之日起60日内向上一级交通运输管理部门或者向本级人民政府申请行政复议，也可以于6个月内依法向人民法院提起行政诉讼。行政复议或者行政诉讼期间，行政决定不停止执行。</w:t>
      </w:r>
    </w:p>
    <w:p w14:paraId="7996250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三、责任追溯</w:t>
      </w:r>
    </w:p>
    <w:p w14:paraId="02F8E58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楷体" w:hAnsi="楷体" w:eastAsia="楷体" w:cs="楷体"/>
          <w:b/>
          <w:bCs/>
          <w:color w:val="auto"/>
          <w:kern w:val="0"/>
          <w:sz w:val="32"/>
          <w:szCs w:val="32"/>
          <w:highlight w:val="none"/>
        </w:rPr>
        <w:t>（一）加强层级监督。</w:t>
      </w:r>
      <w:r>
        <w:rPr>
          <w:rFonts w:hint="eastAsia" w:ascii="仿宋_GB2312" w:hAnsi="宋体" w:eastAsia="仿宋_GB2312" w:cs="宋体"/>
          <w:color w:val="auto"/>
          <w:kern w:val="0"/>
          <w:sz w:val="32"/>
          <w:szCs w:val="32"/>
          <w:highlight w:val="none"/>
        </w:rPr>
        <w:t>区交通运输局对管辖公路工程建设单位是否履行责任进行监督；对其日常监管中发现的问题是否依法处理进行监督问责；对上级机关交办的案件是否认真调查并按时报告调查结果进行监督问责。</w:t>
      </w:r>
    </w:p>
    <w:p w14:paraId="1F5D47E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楷体" w:hAnsi="楷体" w:eastAsia="楷体" w:cs="楷体"/>
          <w:b/>
          <w:bCs/>
          <w:color w:val="auto"/>
          <w:kern w:val="0"/>
          <w:sz w:val="32"/>
          <w:szCs w:val="32"/>
          <w:highlight w:val="none"/>
        </w:rPr>
        <w:t>（二）加强人员监督问责。</w:t>
      </w:r>
      <w:r>
        <w:rPr>
          <w:rFonts w:hint="eastAsia" w:ascii="仿宋_GB2312" w:hAnsi="宋体" w:eastAsia="仿宋_GB2312" w:cs="宋体"/>
          <w:color w:val="auto"/>
          <w:kern w:val="0"/>
          <w:sz w:val="32"/>
          <w:szCs w:val="32"/>
          <w:highlight w:val="none"/>
        </w:rPr>
        <w:t>加强对有关监管人员的监督问责，重点对监管人员是否严格执行监管措施、是否存在不作为、乱作为等进行监督问责。</w:t>
      </w:r>
    </w:p>
    <w:p w14:paraId="34C1440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楷体" w:hAnsi="楷体" w:eastAsia="楷体" w:cs="楷体"/>
          <w:b/>
          <w:bCs/>
          <w:color w:val="auto"/>
          <w:kern w:val="0"/>
          <w:sz w:val="32"/>
          <w:szCs w:val="32"/>
          <w:highlight w:val="none"/>
        </w:rPr>
        <w:t>（三）建立健全责任追究机制。</w:t>
      </w:r>
      <w:r>
        <w:rPr>
          <w:rFonts w:hint="eastAsia" w:ascii="仿宋_GB2312" w:hAnsi="宋体" w:eastAsia="仿宋_GB2312" w:cs="宋体"/>
          <w:color w:val="auto"/>
          <w:kern w:val="0"/>
          <w:sz w:val="32"/>
          <w:szCs w:val="32"/>
          <w:highlight w:val="none"/>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3C7A516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四、保障措施</w:t>
      </w:r>
    </w:p>
    <w:p w14:paraId="2895250D">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firstLine="643" w:firstLineChars="200"/>
        <w:jc w:val="left"/>
        <w:textAlignment w:val="auto"/>
        <w:rPr>
          <w:rFonts w:ascii="宋体" w:hAnsi="宋体" w:cs="宋体"/>
          <w:color w:val="auto"/>
          <w:kern w:val="0"/>
          <w:sz w:val="32"/>
          <w:szCs w:val="32"/>
          <w:highlight w:val="none"/>
        </w:rPr>
      </w:pPr>
      <w:r>
        <w:rPr>
          <w:rFonts w:hint="eastAsia" w:ascii="楷体" w:hAnsi="楷体" w:eastAsia="楷体" w:cs="楷体"/>
          <w:b/>
          <w:bCs/>
          <w:color w:val="auto"/>
          <w:kern w:val="0"/>
          <w:sz w:val="32"/>
          <w:szCs w:val="32"/>
          <w:highlight w:val="none"/>
        </w:rPr>
        <w:t>（一）加强组织协调。</w:t>
      </w:r>
      <w:r>
        <w:rPr>
          <w:rFonts w:hint="eastAsia" w:ascii="仿宋_GB2312" w:hAnsi="宋体" w:eastAsia="仿宋_GB2312" w:cs="宋体"/>
          <w:color w:val="auto"/>
          <w:kern w:val="0"/>
          <w:sz w:val="32"/>
          <w:szCs w:val="32"/>
          <w:highlight w:val="none"/>
        </w:rPr>
        <w:t>强化组织领导，落实监管措施，严格追责，确保事中事后监管工作有序推进。</w:t>
      </w:r>
    </w:p>
    <w:p w14:paraId="7F4FBBA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firstLine="643" w:firstLineChars="200"/>
        <w:jc w:val="left"/>
        <w:textAlignment w:val="auto"/>
        <w:rPr>
          <w:rFonts w:ascii="宋体" w:hAnsi="宋体" w:cs="宋体"/>
          <w:color w:val="auto"/>
          <w:kern w:val="0"/>
          <w:sz w:val="32"/>
          <w:szCs w:val="32"/>
          <w:highlight w:val="none"/>
        </w:rPr>
      </w:pPr>
      <w:r>
        <w:rPr>
          <w:rFonts w:hint="eastAsia" w:ascii="楷体" w:hAnsi="楷体" w:eastAsia="楷体" w:cs="楷体"/>
          <w:b/>
          <w:bCs/>
          <w:color w:val="auto"/>
          <w:kern w:val="0"/>
          <w:sz w:val="32"/>
          <w:szCs w:val="32"/>
          <w:highlight w:val="none"/>
        </w:rPr>
        <w:t>（二）加强普法宣传。</w:t>
      </w:r>
      <w:r>
        <w:rPr>
          <w:rFonts w:hint="eastAsia" w:ascii="仿宋_GB2312" w:hAnsi="宋体" w:eastAsia="仿宋_GB2312" w:cs="宋体"/>
          <w:color w:val="auto"/>
          <w:kern w:val="0"/>
          <w:sz w:val="32"/>
          <w:szCs w:val="32"/>
          <w:highlight w:val="none"/>
        </w:rPr>
        <w:t>运用多种方式宣传有关法律法规，提升管理相对人和公众的法律意识。</w:t>
      </w:r>
    </w:p>
    <w:p w14:paraId="2E84CE5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firstLine="643" w:firstLineChars="200"/>
        <w:jc w:val="left"/>
        <w:textAlignment w:val="auto"/>
        <w:rPr>
          <w:rFonts w:hint="eastAsia" w:ascii="宋体" w:hAnsi="宋体" w:cs="宋体"/>
          <w:color w:val="auto"/>
          <w:kern w:val="0"/>
          <w:sz w:val="32"/>
          <w:szCs w:val="32"/>
          <w:highlight w:val="none"/>
        </w:rPr>
      </w:pPr>
      <w:r>
        <w:rPr>
          <w:rFonts w:hint="eastAsia" w:ascii="楷体" w:hAnsi="楷体" w:eastAsia="楷体" w:cs="楷体"/>
          <w:b/>
          <w:bCs/>
          <w:color w:val="auto"/>
          <w:kern w:val="0"/>
          <w:sz w:val="32"/>
          <w:szCs w:val="32"/>
          <w:highlight w:val="none"/>
        </w:rPr>
        <w:t>（三）强化人员培训。</w:t>
      </w:r>
      <w:r>
        <w:rPr>
          <w:rFonts w:hint="eastAsia" w:ascii="仿宋_GB2312" w:hAnsi="宋体" w:eastAsia="仿宋_GB2312" w:cs="宋体"/>
          <w:color w:val="auto"/>
          <w:kern w:val="0"/>
          <w:sz w:val="32"/>
          <w:szCs w:val="32"/>
          <w:highlight w:val="none"/>
        </w:rPr>
        <w:t>加强对监管执法人员有关法律、法规、标准和专业知识与执法能力培训，提高业务水平和执法能力。</w:t>
      </w:r>
    </w:p>
    <w:p w14:paraId="1960E49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五、主要依据</w:t>
      </w:r>
    </w:p>
    <w:p w14:paraId="37475E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《中华人民共和国公路法》</w:t>
      </w:r>
    </w:p>
    <w:p w14:paraId="7395D3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《安徽省公路安全保护条例》</w:t>
      </w:r>
    </w:p>
    <w:p w14:paraId="7830FB5B">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2581D62E">
      <w:pPr>
        <w:keepNext w:val="0"/>
        <w:keepLines w:val="0"/>
        <w:pageBreakBefore w:val="0"/>
        <w:numPr>
          <w:ilvl w:val="0"/>
          <w:numId w:val="0"/>
        </w:numPr>
        <w:kinsoku/>
        <w:wordWrap/>
        <w:overflowPunct/>
        <w:topLinePunct w:val="0"/>
        <w:bidi w:val="0"/>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三十、土地承包合同的备案事中事后监管细则</w:t>
      </w:r>
    </w:p>
    <w:p w14:paraId="7C384232">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（其他权力）</w:t>
      </w:r>
    </w:p>
    <w:p w14:paraId="249B4C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为深入推进简政放权、放管结合、优化服务，加强事中事后监管工作，规范行政行为，根据相关法律法规和《安徽省政府权力运行监督管理办法》，结合</w:t>
      </w:r>
      <w:r>
        <w:rPr>
          <w:rFonts w:hint="eastAsia" w:ascii="仿宋_GB2312" w:hAnsi="Times New Roman" w:eastAsia="仿宋_GB2312" w:cs="Times New Roman"/>
          <w:color w:val="auto"/>
          <w:sz w:val="32"/>
          <w:szCs w:val="32"/>
          <w:highlight w:val="none"/>
          <w:lang w:val="en-US" w:eastAsia="zh-CN"/>
        </w:rPr>
        <w:t>宅基地许可工作实际</w:t>
      </w:r>
      <w:r>
        <w:rPr>
          <w:rFonts w:hint="eastAsia" w:ascii="仿宋_GB2312" w:hAnsi="Times New Roman" w:eastAsia="仿宋_GB2312" w:cs="Times New Roman"/>
          <w:color w:val="auto"/>
          <w:sz w:val="32"/>
          <w:szCs w:val="32"/>
          <w:highlight w:val="none"/>
          <w:lang w:val="zh-CN"/>
        </w:rPr>
        <w:t>制定本监管细则。</w:t>
      </w:r>
    </w:p>
    <w:p w14:paraId="4D5DBB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本细则对应</w:t>
      </w:r>
      <w:r>
        <w:rPr>
          <w:rFonts w:hint="eastAsia" w:ascii="仿宋_GB2312" w:hAnsi="Times New Roman" w:eastAsia="仿宋_GB2312" w:cs="Times New Roman"/>
          <w:color w:val="auto"/>
          <w:sz w:val="32"/>
          <w:szCs w:val="32"/>
          <w:highlight w:val="none"/>
          <w:lang w:val="zh-CN" w:eastAsia="zh-CN"/>
        </w:rPr>
        <w:t>《</w:t>
      </w:r>
      <w:r>
        <w:rPr>
          <w:rFonts w:hint="eastAsia" w:ascii="仿宋_GB2312" w:hAnsi="Times New Roman" w:eastAsia="仿宋_GB2312" w:cs="Times New Roman"/>
          <w:color w:val="auto"/>
          <w:sz w:val="32"/>
          <w:szCs w:val="32"/>
          <w:highlight w:val="none"/>
          <w:lang w:val="en-US" w:eastAsia="zh-CN"/>
        </w:rPr>
        <w:t>屯溪区</w:t>
      </w:r>
      <w:r>
        <w:rPr>
          <w:rFonts w:hint="eastAsia" w:ascii="仿宋_GB2312" w:cs="Times New Roman"/>
          <w:color w:val="auto"/>
          <w:sz w:val="32"/>
          <w:szCs w:val="32"/>
          <w:highlight w:val="none"/>
          <w:lang w:val="en-US" w:eastAsia="zh-CN"/>
        </w:rPr>
        <w:t>镇（街道）审批事项清单</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zh-CN" w:eastAsia="zh-CN"/>
        </w:rPr>
        <w:t>其他权力</w:t>
      </w:r>
      <w:r>
        <w:rPr>
          <w:rFonts w:hint="eastAsia" w:ascii="仿宋_GB2312" w:hAnsi="Times New Roman" w:eastAsia="仿宋_GB2312" w:cs="Times New Roman"/>
          <w:color w:val="auto"/>
          <w:sz w:val="32"/>
          <w:szCs w:val="32"/>
          <w:highlight w:val="none"/>
          <w:lang w:val="zh-CN"/>
        </w:rPr>
        <w:t>第</w:t>
      </w:r>
      <w:r>
        <w:rPr>
          <w:rFonts w:hint="eastAsia" w:ascii="仿宋_GB2312" w:cs="Times New Roman"/>
          <w:color w:val="auto"/>
          <w:sz w:val="32"/>
          <w:szCs w:val="32"/>
          <w:highlight w:val="none"/>
          <w:lang w:val="en-US" w:eastAsia="zh-CN"/>
        </w:rPr>
        <w:t>30</w:t>
      </w:r>
      <w:r>
        <w:rPr>
          <w:rFonts w:hint="eastAsia" w:ascii="仿宋_GB2312" w:hAnsi="Times New Roman" w:eastAsia="仿宋_GB2312" w:cs="Times New Roman"/>
          <w:color w:val="auto"/>
          <w:sz w:val="32"/>
          <w:szCs w:val="32"/>
          <w:highlight w:val="none"/>
          <w:lang w:val="zh-CN"/>
        </w:rPr>
        <w:t>项，项目名称：</w:t>
      </w:r>
      <w:r>
        <w:rPr>
          <w:rFonts w:hint="eastAsia" w:ascii="仿宋_GB2312" w:hAnsi="Times New Roman" w:eastAsia="仿宋_GB2312" w:cs="Times New Roman"/>
          <w:color w:val="auto"/>
          <w:sz w:val="32"/>
          <w:szCs w:val="32"/>
          <w:highlight w:val="none"/>
          <w:lang w:val="en-US" w:eastAsia="zh-CN"/>
        </w:rPr>
        <w:t>土地承包合同的备案</w:t>
      </w:r>
      <w:r>
        <w:rPr>
          <w:rFonts w:hint="eastAsia" w:ascii="仿宋_GB2312" w:hAnsi="Times New Roman" w:eastAsia="仿宋_GB2312" w:cs="Times New Roman"/>
          <w:color w:val="auto"/>
          <w:sz w:val="32"/>
          <w:szCs w:val="32"/>
          <w:highlight w:val="none"/>
          <w:lang w:val="zh-CN"/>
        </w:rPr>
        <w:t>。</w:t>
      </w:r>
    </w:p>
    <w:p w14:paraId="365E90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val="en-US" w:eastAsia="zh-CN"/>
        </w:rPr>
        <w:t>监管任务</w:t>
      </w:r>
    </w:p>
    <w:p w14:paraId="2C641D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（一）</w:t>
      </w:r>
      <w:r>
        <w:rPr>
          <w:rFonts w:hint="eastAsia" w:ascii="仿宋_GB2312" w:hAnsi="Times New Roman" w:eastAsia="仿宋_GB2312" w:cs="Times New Roman"/>
          <w:color w:val="auto"/>
          <w:sz w:val="32"/>
          <w:szCs w:val="32"/>
          <w:highlight w:val="none"/>
          <w:lang w:val="zh-CN"/>
        </w:rPr>
        <w:t>坚持“法无授权不可为、法定职权必须为”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14:paraId="0BC76E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（二）</w:t>
      </w:r>
      <w:r>
        <w:rPr>
          <w:rFonts w:hint="eastAsia" w:ascii="仿宋_GB2312" w:hAnsi="Times New Roman" w:eastAsia="仿宋_GB2312" w:cs="Times New Roman"/>
          <w:color w:val="auto"/>
          <w:sz w:val="32"/>
          <w:szCs w:val="32"/>
          <w:highlight w:val="none"/>
          <w:lang w:val="zh-CN"/>
        </w:rPr>
        <w:t>坚持“全程监管、全程服务”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3926C4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为进一步加强农户承包经营者承包土地调整工作,维护正常的土地利用与管理秩序，有效促进依法依规承包土地。依据《土地管理法》、《</w:t>
      </w:r>
      <w:r>
        <w:rPr>
          <w:rFonts w:hint="eastAsia" w:ascii="仿宋_GB2312" w:hAnsi="Times New Roman" w:eastAsia="仿宋_GB2312" w:cs="Times New Roman"/>
          <w:color w:val="auto"/>
          <w:sz w:val="32"/>
          <w:szCs w:val="32"/>
          <w:highlight w:val="none"/>
          <w:lang w:val="en-US" w:eastAsia="zh-CN"/>
        </w:rPr>
        <w:t>中华人民共和国农村</w:t>
      </w:r>
      <w:r>
        <w:rPr>
          <w:rFonts w:hint="eastAsia" w:ascii="仿宋_GB2312" w:hAnsi="Times New Roman" w:eastAsia="仿宋_GB2312" w:cs="Times New Roman"/>
          <w:color w:val="auto"/>
          <w:sz w:val="32"/>
          <w:szCs w:val="32"/>
          <w:highlight w:val="none"/>
          <w:lang w:val="zh-CN"/>
        </w:rPr>
        <w:t>土地承包法》和《安徽省实施土地承包法办法》等法律法规，结合本镇实际，制定本监管细则。</w:t>
      </w:r>
    </w:p>
    <w:p w14:paraId="73F23B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二、监管措施</w:t>
      </w:r>
    </w:p>
    <w:p w14:paraId="6C0CE8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监督检查的内容:</w:t>
      </w:r>
    </w:p>
    <w:p w14:paraId="408C35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(一)农村土地发包方应当和承包方签订书面承包合同。承包合同一式三份，发包方和承包方各执一份，另一份由发包方在承包合同签订之日起三十日内报镇政府土地承包管理部门备案。</w:t>
      </w:r>
    </w:p>
    <w:p w14:paraId="1D53FB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(二)发包方、乡镇政府依照各自职责，负责承包合同、土地承包经营权证或者林权证等证书的登记、建档、和查询等工作。</w:t>
      </w:r>
    </w:p>
    <w:p w14:paraId="2D9637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三)乡镇土地流转主管部门在接收备案合同时，要审核报备承包合同是否齐全，并一次性告知补正材料，依据所交材料，提出备案预审意见，依法作出同意或者不同意承包合同备案的决定(不同意备案的应当告知理由)。</w:t>
      </w:r>
    </w:p>
    <w:p w14:paraId="6D6584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(四)备案合同保管，应当设立一户一档，一组一盒，一村一柜管理模式。</w:t>
      </w:r>
    </w:p>
    <w:p w14:paraId="32BF96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三、责任追究</w:t>
      </w:r>
    </w:p>
    <w:p w14:paraId="51FAFC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因不履行或不正确履行行政职责，有下列情形的，乡镇行政机关及其工作人员应承担相应责任:</w:t>
      </w:r>
    </w:p>
    <w:p w14:paraId="47AD08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(一)对符合法定条件的申请不予受理的;</w:t>
      </w:r>
    </w:p>
    <w:p w14:paraId="1ECD5F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(二)对符合许可条件的申请人不予行政许可或者不在法定期限内作出准予行政许可决定.的;</w:t>
      </w:r>
    </w:p>
    <w:p w14:paraId="100E3F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(三)对不符合许可条件的申请人准予行政许可的;</w:t>
      </w:r>
    </w:p>
    <w:p w14:paraId="214F7E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(四)未严格审查许可条件，导致公民人身健康、生命财产安全存在重大安全隐患的，行政许可后续监管不到位，造成严重后果的;</w:t>
      </w:r>
    </w:p>
    <w:p w14:paraId="761DCD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(五)增设、变更审批程序或审批条件的;</w:t>
      </w:r>
    </w:p>
    <w:p w14:paraId="098736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(六)在许可审批过程中违法收取费用的;.</w:t>
      </w:r>
    </w:p>
    <w:p w14:paraId="628928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(七)在许可过程中滥用职权、徇私舞弊的;</w:t>
      </w:r>
    </w:p>
    <w:p w14:paraId="761894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(八)其他违反法律法规政策规定的行为。</w:t>
      </w:r>
    </w:p>
    <w:p w14:paraId="611C5F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四、保障措施</w:t>
      </w:r>
    </w:p>
    <w:p w14:paraId="5D2200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(一)加强组织领导。乡镇政府成立农村土地承包备案领导小组，强化对土地承包流转备案的监督。</w:t>
      </w:r>
    </w:p>
    <w:p w14:paraId="467FF1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(二)强化人员培训。加强土地承包合同备案工作人员法律知识和专业知识的培训，提升业务水平。不具备相应知识和能力的，不得从事相关工作。</w:t>
      </w:r>
    </w:p>
    <w:p w14:paraId="44BBA9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(三)严格落实责任。对土地流转备案经办人员严格分工，每个办事环节都要签名，办理过程记录归档。</w:t>
      </w:r>
    </w:p>
    <w:p w14:paraId="3E773D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五、主要依据</w:t>
      </w:r>
    </w:p>
    <w:p w14:paraId="69323A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1.《中华人民共和国农村土地承包法》；</w:t>
      </w:r>
    </w:p>
    <w:p w14:paraId="485941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2.《安徽省实施〈中华人民共和国农村土地承包法〉办法》。</w:t>
      </w:r>
    </w:p>
    <w:p w14:paraId="178BB87F">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248D0D41">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3D7F135D">
      <w:pPr>
        <w:keepNext w:val="0"/>
        <w:keepLines w:val="0"/>
        <w:pageBreakBefore w:val="0"/>
        <w:kinsoku/>
        <w:wordWrap/>
        <w:overflowPunct/>
        <w:topLinePunct w:val="0"/>
        <w:bidi w:val="0"/>
        <w:snapToGrid/>
        <w:spacing w:line="560" w:lineRule="exact"/>
        <w:textAlignment w:val="auto"/>
        <w:rPr>
          <w:rFonts w:hint="default" w:eastAsia="仿宋_GB2312"/>
          <w:color w:val="auto"/>
          <w:highlight w:val="none"/>
          <w:lang w:val="en-US" w:eastAsia="zh-CN"/>
        </w:rPr>
      </w:pPr>
    </w:p>
    <w:p w14:paraId="071C1373">
      <w:pPr>
        <w:keepNext w:val="0"/>
        <w:keepLines w:val="0"/>
        <w:pageBreakBefore w:val="0"/>
        <w:numPr>
          <w:ilvl w:val="0"/>
          <w:numId w:val="0"/>
        </w:numPr>
        <w:kinsoku/>
        <w:wordWrap/>
        <w:overflowPunct/>
        <w:topLinePunct w:val="0"/>
        <w:bidi w:val="0"/>
        <w:snapToGrid/>
        <w:spacing w:beforeAutospacing="0" w:afterAutospacing="0" w:line="560" w:lineRule="exact"/>
        <w:jc w:val="both"/>
        <w:textAlignment w:val="auto"/>
        <w:rPr>
          <w:rFonts w:hint="eastAsia" w:ascii="方正小标宋简体" w:hAnsi="方正小标宋简体" w:eastAsia="方正小标宋简体" w:cs="方正小标宋简体"/>
          <w:color w:val="auto"/>
          <w:sz w:val="44"/>
          <w:szCs w:val="44"/>
          <w:highlight w:val="none"/>
          <w:lang w:val="zh-CN" w:eastAsia="zh-CN"/>
        </w:rPr>
      </w:pPr>
    </w:p>
    <w:p w14:paraId="63CB00F0">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三十一、组织开展动物疫病强制免疫事中事后监管细则</w:t>
      </w:r>
    </w:p>
    <w:p w14:paraId="39D0319A">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75DDD7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一、设定依据</w:t>
      </w:r>
    </w:p>
    <w:p w14:paraId="089CBD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ascii="仿宋_GB2312" w:hAnsi="微软雅黑" w:eastAsia="仿宋_GB2312" w:cs="仿宋_GB2312"/>
          <w:i w:val="0"/>
          <w:iCs w:val="0"/>
          <w:caps w:val="0"/>
          <w:color w:val="auto"/>
          <w:spacing w:val="0"/>
          <w:kern w:val="0"/>
          <w:sz w:val="32"/>
          <w:szCs w:val="32"/>
          <w:highlight w:val="none"/>
          <w:shd w:val="clear" w:fill="FFFFFF"/>
          <w:lang w:val="en-US" w:eastAsia="zh-CN" w:bidi="ar"/>
        </w:rPr>
        <w:t>乡镇人民政府应当组织群众协助做好本管辖区域内的动物疫病预防与控制工作。</w:t>
      </w:r>
    </w:p>
    <w:p w14:paraId="494A45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乡镇人民政府应当组织本管辖区域内饲养动物的单位和个人做好强制免疫工作。</w:t>
      </w:r>
    </w:p>
    <w:p w14:paraId="029A89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县级人民政府和乡镇人民政府应当采取有效措施，加强村级防疫员队伍建设。</w:t>
      </w:r>
    </w:p>
    <w:p w14:paraId="09E4D2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二、责任事项</w:t>
      </w:r>
    </w:p>
    <w:p w14:paraId="55BC8E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1.预防责任：按规定对动物、动物产品实施检疫</w:t>
      </w:r>
    </w:p>
    <w:p w14:paraId="1E0669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2.控制责任：组织群众协助做好本辖区内动物疫病的预防与控制工作。</w:t>
      </w:r>
    </w:p>
    <w:p w14:paraId="3202B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3.日常防控责任：组织本管辖区域内饲养动物的单位和个人做好强制免疫工作；做好预防控制措施；做好应急控制；及时上报区卫生部门疫情以及控制情况。</w:t>
      </w:r>
    </w:p>
    <w:p w14:paraId="18025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4.其他法律法规规章文件规定应履行的责任。</w:t>
      </w:r>
    </w:p>
    <w:p w14:paraId="760CA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三、追责情形</w:t>
      </w:r>
    </w:p>
    <w:p w14:paraId="3B0CD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因不履行或不正确履行行政职责，有下列情形的，行政机关及相关工作人员应承担相应责任：</w:t>
      </w:r>
    </w:p>
    <w:p w14:paraId="5D1643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1.对不符合条件的实施行政强制的；</w:t>
      </w:r>
    </w:p>
    <w:p w14:paraId="3EEFB8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2.因不当实施行政强制，给行政相对人造成损失的；</w:t>
      </w:r>
    </w:p>
    <w:p w14:paraId="01E5F8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3.改变行政强制对象、条件、方式的；</w:t>
      </w:r>
    </w:p>
    <w:p w14:paraId="362F4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4.违反法定权限、程序实施行政强制的；</w:t>
      </w:r>
    </w:p>
    <w:p w14:paraId="2FC0CF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5.在工作中玩忽职守、滥用职权的；</w:t>
      </w:r>
    </w:p>
    <w:p w14:paraId="7ED22E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6.在实施行政强制过程中有腐败行为的；</w:t>
      </w:r>
    </w:p>
    <w:p w14:paraId="3E2BB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7.其他违反法律法规政策规定的行为。</w:t>
      </w:r>
    </w:p>
    <w:p w14:paraId="4D141143">
      <w:pPr>
        <w:keepNext w:val="0"/>
        <w:keepLines w:val="0"/>
        <w:pageBreakBefore w:val="0"/>
        <w:numPr>
          <w:ilvl w:val="0"/>
          <w:numId w:val="0"/>
        </w:numPr>
        <w:kinsoku/>
        <w:wordWrap/>
        <w:overflowPunct/>
        <w:topLinePunct w:val="0"/>
        <w:bidi w:val="0"/>
        <w:snapToGrid/>
        <w:spacing w:beforeAutospacing="0" w:afterAutospacing="0" w:line="560" w:lineRule="exact"/>
        <w:jc w:val="both"/>
        <w:textAlignment w:val="auto"/>
        <w:rPr>
          <w:rFonts w:hint="eastAsia" w:ascii="方正小标宋简体" w:hAnsi="方正小标宋简体" w:eastAsia="方正小标宋简体" w:cs="方正小标宋简体"/>
          <w:color w:val="auto"/>
          <w:sz w:val="44"/>
          <w:szCs w:val="44"/>
          <w:highlight w:val="none"/>
          <w:lang w:val="zh-CN" w:eastAsia="zh-CN"/>
        </w:rPr>
      </w:pPr>
    </w:p>
    <w:p w14:paraId="08DE50B0">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73B85FE3">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69087D12">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08F90F1F">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19C02AC4">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6858699B">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3983678E">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44B7A724">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58F7398F">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771DD206">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0B7CB870">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797A9F3F">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5F61DE5F">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5B6BEB16">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460F6039">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黑体" w:hAnsi="黑体" w:eastAsia="黑体" w:cs="黑体"/>
          <w:color w:val="auto"/>
          <w:sz w:val="32"/>
          <w:szCs w:val="32"/>
          <w:highlight w:val="none"/>
          <w:lang w:val="zh-CN" w:eastAsia="zh-CN"/>
        </w:rPr>
      </w:pPr>
    </w:p>
    <w:p w14:paraId="06FFC7D5">
      <w:pPr>
        <w:keepNext w:val="0"/>
        <w:keepLines w:val="0"/>
        <w:pageBreakBefore w:val="0"/>
        <w:numPr>
          <w:ilvl w:val="0"/>
          <w:numId w:val="0"/>
        </w:numPr>
        <w:kinsoku/>
        <w:wordWrap/>
        <w:overflowPunct/>
        <w:topLinePunct w:val="0"/>
        <w:bidi w:val="0"/>
        <w:snapToGrid/>
        <w:spacing w:beforeAutospacing="0" w:afterAutospacing="0" w:line="560" w:lineRule="exact"/>
        <w:jc w:val="both"/>
        <w:textAlignment w:val="auto"/>
        <w:rPr>
          <w:rFonts w:hint="eastAsia" w:ascii="黑体" w:hAnsi="黑体" w:eastAsia="黑体" w:cs="黑体"/>
          <w:color w:val="auto"/>
          <w:sz w:val="32"/>
          <w:szCs w:val="32"/>
          <w:highlight w:val="none"/>
          <w:lang w:val="zh-CN" w:eastAsia="zh-CN"/>
        </w:rPr>
      </w:pPr>
    </w:p>
    <w:p w14:paraId="57BF07E4">
      <w:pPr>
        <w:keepNext w:val="0"/>
        <w:keepLines w:val="0"/>
        <w:pageBreakBefore w:val="0"/>
        <w:numPr>
          <w:ilvl w:val="0"/>
          <w:numId w:val="0"/>
        </w:numPr>
        <w:kinsoku/>
        <w:wordWrap/>
        <w:overflowPunct/>
        <w:topLinePunct w:val="0"/>
        <w:bidi w:val="0"/>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lang w:val="zh-CN" w:eastAsia="zh-CN"/>
        </w:rPr>
      </w:pPr>
      <w:r>
        <w:rPr>
          <w:rFonts w:hint="eastAsia" w:ascii="黑体" w:hAnsi="黑体" w:eastAsia="黑体" w:cs="黑体"/>
          <w:color w:val="auto"/>
          <w:sz w:val="32"/>
          <w:szCs w:val="32"/>
          <w:highlight w:val="none"/>
          <w:lang w:val="zh-CN" w:eastAsia="zh-CN"/>
        </w:rPr>
        <w:t>三十二、农村承包地调整的批准事中事后监管细则</w:t>
      </w:r>
    </w:p>
    <w:p w14:paraId="1C6B892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auto"/>
          <w:kern w:val="0"/>
          <w:sz w:val="32"/>
          <w:szCs w:val="32"/>
          <w:highlight w:val="none"/>
          <w:lang w:val="zh-CN" w:eastAsia="zh-CN"/>
        </w:rPr>
      </w:pPr>
      <w:r>
        <w:rPr>
          <w:rFonts w:hint="eastAsia" w:ascii="黑体" w:hAnsi="黑体" w:eastAsia="黑体" w:cs="黑体"/>
          <w:color w:val="auto"/>
          <w:kern w:val="0"/>
          <w:sz w:val="32"/>
          <w:szCs w:val="32"/>
          <w:highlight w:val="none"/>
          <w:lang w:val="en-US" w:eastAsia="zh-CN"/>
        </w:rPr>
        <w:t>（其他权力）</w:t>
      </w:r>
    </w:p>
    <w:p w14:paraId="13AAB8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为深入推进简政放权、放管结合、优化服务，加强事中事后监管工作，规范行政行为，根据相关法律法规和《安徽省政府权力运行监督管理办法》，结合</w:t>
      </w:r>
      <w:r>
        <w:rPr>
          <w:rFonts w:hint="eastAsia" w:ascii="仿宋_GB2312" w:hAnsi="Times New Roman" w:eastAsia="仿宋_GB2312" w:cs="Times New Roman"/>
          <w:color w:val="auto"/>
          <w:sz w:val="32"/>
          <w:szCs w:val="32"/>
          <w:highlight w:val="none"/>
          <w:lang w:val="en-US" w:eastAsia="zh-CN"/>
        </w:rPr>
        <w:t>宅基地许可工作实际</w:t>
      </w:r>
      <w:r>
        <w:rPr>
          <w:rFonts w:hint="eastAsia" w:ascii="仿宋_GB2312" w:hAnsi="Times New Roman" w:eastAsia="仿宋_GB2312" w:cs="Times New Roman"/>
          <w:color w:val="auto"/>
          <w:sz w:val="32"/>
          <w:szCs w:val="32"/>
          <w:highlight w:val="none"/>
          <w:lang w:val="zh-CN"/>
        </w:rPr>
        <w:t>制定本监管细则。</w:t>
      </w:r>
    </w:p>
    <w:p w14:paraId="1223EC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本细则对应</w:t>
      </w:r>
      <w:r>
        <w:rPr>
          <w:rFonts w:hint="eastAsia" w:ascii="仿宋_GB2312" w:hAnsi="Times New Roman" w:eastAsia="仿宋_GB2312" w:cs="Times New Roman"/>
          <w:color w:val="auto"/>
          <w:sz w:val="32"/>
          <w:szCs w:val="32"/>
          <w:highlight w:val="none"/>
          <w:lang w:val="zh-CN" w:eastAsia="zh-CN"/>
        </w:rPr>
        <w:t>《</w:t>
      </w:r>
      <w:r>
        <w:rPr>
          <w:rFonts w:hint="eastAsia" w:ascii="仿宋_GB2312" w:hAnsi="Times New Roman" w:eastAsia="仿宋_GB2312" w:cs="Times New Roman"/>
          <w:color w:val="auto"/>
          <w:sz w:val="32"/>
          <w:szCs w:val="32"/>
          <w:highlight w:val="none"/>
          <w:lang w:val="en-US" w:eastAsia="zh-CN"/>
        </w:rPr>
        <w:t>屯溪区</w:t>
      </w:r>
      <w:r>
        <w:rPr>
          <w:rFonts w:hint="eastAsia" w:ascii="仿宋_GB2312" w:cs="Times New Roman"/>
          <w:color w:val="auto"/>
          <w:sz w:val="32"/>
          <w:szCs w:val="32"/>
          <w:highlight w:val="none"/>
          <w:lang w:val="en-US" w:eastAsia="zh-CN"/>
        </w:rPr>
        <w:t>镇（街道）审批事项清单</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zh-CN" w:eastAsia="zh-CN"/>
        </w:rPr>
        <w:t>其他权力</w:t>
      </w:r>
      <w:r>
        <w:rPr>
          <w:rFonts w:hint="eastAsia" w:ascii="仿宋_GB2312" w:hAnsi="Times New Roman" w:eastAsia="仿宋_GB2312" w:cs="Times New Roman"/>
          <w:color w:val="auto"/>
          <w:sz w:val="32"/>
          <w:szCs w:val="32"/>
          <w:highlight w:val="none"/>
          <w:lang w:val="zh-CN"/>
        </w:rPr>
        <w:t>第</w:t>
      </w:r>
      <w:r>
        <w:rPr>
          <w:rFonts w:hint="eastAsia" w:ascii="仿宋_GB2312" w:cs="Times New Roman"/>
          <w:color w:val="auto"/>
          <w:sz w:val="32"/>
          <w:szCs w:val="32"/>
          <w:highlight w:val="none"/>
          <w:lang w:val="en-US" w:eastAsia="zh-CN"/>
        </w:rPr>
        <w:t>32</w:t>
      </w:r>
      <w:r>
        <w:rPr>
          <w:rFonts w:hint="eastAsia" w:ascii="仿宋_GB2312" w:hAnsi="Times New Roman" w:eastAsia="仿宋_GB2312" w:cs="Times New Roman"/>
          <w:color w:val="auto"/>
          <w:sz w:val="32"/>
          <w:szCs w:val="32"/>
          <w:highlight w:val="none"/>
          <w:lang w:val="zh-CN"/>
        </w:rPr>
        <w:t>项，项目名称：</w:t>
      </w:r>
      <w:r>
        <w:rPr>
          <w:rFonts w:hint="eastAsia" w:ascii="仿宋_GB2312" w:cs="Times New Roman"/>
          <w:color w:val="auto"/>
          <w:sz w:val="32"/>
          <w:szCs w:val="32"/>
          <w:highlight w:val="none"/>
          <w:lang w:val="zh-CN"/>
        </w:rPr>
        <w:t>农村承包地调整的批准</w:t>
      </w:r>
    </w:p>
    <w:p w14:paraId="74B1AF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val="en-US" w:eastAsia="zh-CN"/>
        </w:rPr>
        <w:t>监管任务</w:t>
      </w:r>
    </w:p>
    <w:p w14:paraId="332F91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（一）</w:t>
      </w:r>
      <w:r>
        <w:rPr>
          <w:rFonts w:hint="eastAsia" w:ascii="仿宋_GB2312" w:hAnsi="Times New Roman" w:eastAsia="仿宋_GB2312" w:cs="Times New Roman"/>
          <w:color w:val="auto"/>
          <w:sz w:val="32"/>
          <w:szCs w:val="32"/>
          <w:highlight w:val="none"/>
          <w:lang w:val="zh-CN"/>
        </w:rPr>
        <w:t>坚持“法无授权不可为、法定职权必须为”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14:paraId="120B75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（二）</w:t>
      </w:r>
      <w:r>
        <w:rPr>
          <w:rFonts w:hint="eastAsia" w:ascii="仿宋_GB2312" w:hAnsi="Times New Roman" w:eastAsia="仿宋_GB2312" w:cs="Times New Roman"/>
          <w:color w:val="auto"/>
          <w:sz w:val="32"/>
          <w:szCs w:val="32"/>
          <w:highlight w:val="none"/>
          <w:lang w:val="zh-CN"/>
        </w:rPr>
        <w:t>坚持“全程监管、全程服务”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34D112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为进一步加强农户承包经营者承包土地调整工作,维护正常的土地利用与管理秩序，有效促进依法依规承包土地。依据《土地管理法》、《</w:t>
      </w:r>
      <w:r>
        <w:rPr>
          <w:rFonts w:hint="eastAsia" w:ascii="仿宋_GB2312" w:hAnsi="Times New Roman" w:eastAsia="仿宋_GB2312" w:cs="Times New Roman"/>
          <w:color w:val="auto"/>
          <w:sz w:val="32"/>
          <w:szCs w:val="32"/>
          <w:highlight w:val="none"/>
          <w:lang w:val="en-US" w:eastAsia="zh-CN"/>
        </w:rPr>
        <w:t>中华人民共和国农村</w:t>
      </w:r>
      <w:r>
        <w:rPr>
          <w:rFonts w:hint="eastAsia" w:ascii="仿宋_GB2312" w:hAnsi="Times New Roman" w:eastAsia="仿宋_GB2312" w:cs="Times New Roman"/>
          <w:color w:val="auto"/>
          <w:sz w:val="32"/>
          <w:szCs w:val="32"/>
          <w:highlight w:val="none"/>
          <w:lang w:val="zh-CN"/>
        </w:rPr>
        <w:t>土地承包法》和《安徽省实施土地承包法办法》等法律法规，结合本镇实际，制定本监管细则。</w:t>
      </w:r>
    </w:p>
    <w:p w14:paraId="4E9A8E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二、事中监管</w:t>
      </w:r>
    </w:p>
    <w:p w14:paraId="4EF24E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b/>
          <w:bCs/>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监督检查的内容:</w:t>
      </w:r>
    </w:p>
    <w:p w14:paraId="6EDB00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(一)乡镇土地承包经营部门依法对土地调整程序履行是否依法依规、严格规范。包括批前批后公示、签订合同、土地交付等程序履行情况进行检查，是否符合国家有关政策规定。包括方式是否符合规定。</w:t>
      </w:r>
    </w:p>
    <w:p w14:paraId="2B2F40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(二)调整土地审批卷宗材料是否符合规定。土地来源是否清晰合法，行文格式是否规范，表述是否完整，要件是否齐全。</w:t>
      </w:r>
    </w:p>
    <w:p w14:paraId="3500A2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(三)调整土地的公开信息公示、土地闲置、土地开发利用强度、诚信档案建立等情况。对土地调整全过程开展动态监管，及时发现、制止违法违规行为，及时录入、更新土地动态监测与监管系统中的相关信息。</w:t>
      </w:r>
    </w:p>
    <w:p w14:paraId="63CC4B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三、事后监管</w:t>
      </w:r>
    </w:p>
    <w:p w14:paraId="40A7F5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i w:val="0"/>
          <w:iCs w:val="0"/>
          <w:color w:val="auto"/>
          <w:sz w:val="32"/>
          <w:szCs w:val="32"/>
          <w:highlight w:val="none"/>
          <w:lang w:val="zh-CN"/>
        </w:rPr>
        <w:t>(一)审查。</w:t>
      </w:r>
      <w:r>
        <w:rPr>
          <w:rFonts w:hint="eastAsia" w:ascii="仿宋_GB2312" w:hAnsi="Times New Roman" w:eastAsia="仿宋_GB2312" w:cs="Times New Roman"/>
          <w:color w:val="auto"/>
          <w:sz w:val="32"/>
          <w:szCs w:val="32"/>
          <w:highlight w:val="none"/>
          <w:lang w:val="zh-CN"/>
        </w:rPr>
        <w:t>对每</w:t>
      </w:r>
      <w:r>
        <w:rPr>
          <w:rFonts w:hint="eastAsia" w:ascii="仿宋_GB2312" w:hAnsi="Times New Roman" w:eastAsia="仿宋_GB2312" w:cs="Times New Roman"/>
          <w:color w:val="auto"/>
          <w:sz w:val="32"/>
          <w:szCs w:val="32"/>
          <w:highlight w:val="none"/>
          <w:lang w:val="en-US" w:eastAsia="zh-CN"/>
        </w:rPr>
        <w:t>一</w:t>
      </w:r>
      <w:r>
        <w:rPr>
          <w:rFonts w:hint="eastAsia" w:ascii="仿宋_GB2312" w:hAnsi="Times New Roman" w:eastAsia="仿宋_GB2312" w:cs="Times New Roman"/>
          <w:color w:val="auto"/>
          <w:sz w:val="32"/>
          <w:szCs w:val="32"/>
          <w:highlight w:val="none"/>
          <w:lang w:val="zh-CN"/>
        </w:rPr>
        <w:t>份土地调整申请进行评估分析，完成调查报告。</w:t>
      </w:r>
    </w:p>
    <w:p w14:paraId="0F5567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i w:val="0"/>
          <w:iCs w:val="0"/>
          <w:color w:val="auto"/>
          <w:sz w:val="32"/>
          <w:szCs w:val="32"/>
          <w:highlight w:val="none"/>
          <w:lang w:val="zh-CN"/>
        </w:rPr>
        <w:t>(二)</w:t>
      </w:r>
      <w:r>
        <w:rPr>
          <w:rFonts w:hint="eastAsia" w:ascii="仿宋_GB2312" w:hAnsi="Times New Roman" w:eastAsia="仿宋_GB2312" w:cs="Times New Roman"/>
          <w:color w:val="auto"/>
          <w:sz w:val="32"/>
          <w:szCs w:val="32"/>
          <w:highlight w:val="none"/>
          <w:lang w:val="zh-CN"/>
        </w:rPr>
        <w:t>根据监督情况，深入分析审批过程中存在的问题，并限期整改。将监管的相关资料归档。</w:t>
      </w:r>
    </w:p>
    <w:p w14:paraId="799BAB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i w:val="0"/>
          <w:iCs w:val="0"/>
          <w:color w:val="auto"/>
          <w:sz w:val="32"/>
          <w:szCs w:val="32"/>
          <w:highlight w:val="none"/>
          <w:lang w:val="zh-CN"/>
        </w:rPr>
        <w:t>(三)</w:t>
      </w:r>
      <w:r>
        <w:rPr>
          <w:rFonts w:hint="eastAsia" w:ascii="仿宋_GB2312" w:hAnsi="Times New Roman" w:eastAsia="仿宋_GB2312" w:cs="Times New Roman"/>
          <w:color w:val="auto"/>
          <w:sz w:val="32"/>
          <w:szCs w:val="32"/>
          <w:highlight w:val="none"/>
          <w:lang w:val="zh-CN"/>
        </w:rPr>
        <w:t>通过网上核查、动态监测与监管系统查询、听取汇报、查阅资料、察看现场、通报等方式进行。每件土地调整申请结合监管内容，完成监管报告。</w:t>
      </w:r>
    </w:p>
    <w:p w14:paraId="01568B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i w:val="0"/>
          <w:iCs w:val="0"/>
          <w:color w:val="auto"/>
          <w:sz w:val="32"/>
          <w:szCs w:val="32"/>
          <w:highlight w:val="none"/>
          <w:lang w:val="zh-CN"/>
        </w:rPr>
        <w:t>(四)</w:t>
      </w:r>
      <w:r>
        <w:rPr>
          <w:rFonts w:hint="eastAsia" w:ascii="仿宋_GB2312" w:hAnsi="Times New Roman" w:eastAsia="仿宋_GB2312" w:cs="Times New Roman"/>
          <w:color w:val="auto"/>
          <w:sz w:val="32"/>
          <w:szCs w:val="32"/>
          <w:highlight w:val="none"/>
          <w:lang w:val="zh-CN"/>
        </w:rPr>
        <w:t>对检查中发现的</w:t>
      </w:r>
      <w:r>
        <w:rPr>
          <w:rFonts w:hint="eastAsia" w:ascii="仿宋_GB2312" w:hAnsi="Times New Roman" w:eastAsia="仿宋_GB2312" w:cs="Times New Roman"/>
          <w:color w:val="auto"/>
          <w:sz w:val="32"/>
          <w:szCs w:val="32"/>
          <w:highlight w:val="none"/>
          <w:lang w:val="en-US" w:eastAsia="zh-CN"/>
        </w:rPr>
        <w:t>一</w:t>
      </w:r>
      <w:r>
        <w:rPr>
          <w:rFonts w:hint="eastAsia" w:ascii="仿宋_GB2312" w:hAnsi="Times New Roman" w:eastAsia="仿宋_GB2312" w:cs="Times New Roman"/>
          <w:color w:val="auto"/>
          <w:sz w:val="32"/>
          <w:szCs w:val="32"/>
          <w:highlight w:val="none"/>
          <w:lang w:val="zh-CN"/>
        </w:rPr>
        <w:t>般问题，现场提出整改意见和要求。对检查过程中发现的重大问题以及未按规定及时上报信息，或存在虚假、瞒报等情况适时督促检查和实地督办，并进行书面通报，或下达整改通知书，督促限期整改。对整改不到位的，按照有关法规文件规定进行处理。</w:t>
      </w:r>
    </w:p>
    <w:p w14:paraId="64B90A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四、责任追溯</w:t>
      </w:r>
    </w:p>
    <w:p w14:paraId="1B3109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在土地承包经营期内承包土地调整审批工作中，因不履行或不正确履行行政职责，有下列情形的，行政机关及相关工作人员应承担相应的责任:</w:t>
      </w:r>
    </w:p>
    <w:p w14:paraId="6F6072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(一)对符合法定条件的申请不予受理的;</w:t>
      </w:r>
    </w:p>
    <w:p w14:paraId="6F30EA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(二)对符合许可条件的申请人不予行政许可或者不在法定期限内作出准予行政许可决定的;</w:t>
      </w:r>
    </w:p>
    <w:p w14:paraId="14DD06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(三)对不符合许可条件的申请人准予行政许可的;</w:t>
      </w:r>
    </w:p>
    <w:p w14:paraId="1B785B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(四)未严格审查许可条件，导致公民人身健康、生命财产安全存在重大安全隐患的，行政许可后续监管不到位，造成严重后果的;</w:t>
      </w:r>
    </w:p>
    <w:p w14:paraId="53C012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(五)增设、变更审批程序或审批条件的;</w:t>
      </w:r>
    </w:p>
    <w:p w14:paraId="3822A4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(六)在许可审批过程中违法收取费用的;</w:t>
      </w:r>
    </w:p>
    <w:p w14:paraId="34332B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(七)在许可过程中滥用职权、徇私舞弊的;</w:t>
      </w:r>
    </w:p>
    <w:p w14:paraId="3ACD86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(八)其他违反法律法规政策规定的行为。</w:t>
      </w:r>
    </w:p>
    <w:p w14:paraId="364668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五、保障措施</w:t>
      </w:r>
    </w:p>
    <w:p w14:paraId="4DAB1A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(一)实施“审批查”改革。</w:t>
      </w:r>
      <w:r>
        <w:rPr>
          <w:rFonts w:hint="eastAsia" w:ascii="仿宋_GB2312" w:hAnsi="Times New Roman" w:eastAsia="仿宋_GB2312" w:cs="Times New Roman"/>
          <w:color w:val="auto"/>
          <w:sz w:val="32"/>
          <w:szCs w:val="32"/>
          <w:highlight w:val="none"/>
          <w:lang w:val="zh-CN"/>
        </w:rPr>
        <w:t>乡（镇）人民政府要高度重视承包期内农村承包地调整的审核事中事后监管工作，按照“审、批、查’相互分离、相互衔接和简政放权、放管结合、转变职能的要求，强化组织领导，完善监管办法，落实保障措施，严肃查处问题，确保事中事后监管工作有序进行。</w:t>
      </w:r>
    </w:p>
    <w:p w14:paraId="424E21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(二)理清权责边界。</w:t>
      </w:r>
      <w:r>
        <w:rPr>
          <w:rFonts w:hint="eastAsia" w:ascii="仿宋_GB2312" w:hAnsi="Times New Roman" w:eastAsia="仿宋_GB2312" w:cs="Times New Roman"/>
          <w:color w:val="auto"/>
          <w:sz w:val="32"/>
          <w:szCs w:val="32"/>
          <w:highlight w:val="none"/>
          <w:lang w:val="zh-CN"/>
        </w:rPr>
        <w:t>针对权力交叉、监管空白等问题，科学划分村(居)、镇直机构的职能，明确权力范围和责任范围，建立上下联动监管机制。</w:t>
      </w:r>
    </w:p>
    <w:p w14:paraId="7C0705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(三)加强人员培训。</w:t>
      </w:r>
      <w:r>
        <w:rPr>
          <w:rFonts w:hint="eastAsia" w:ascii="仿宋_GB2312" w:hAnsi="Times New Roman" w:eastAsia="仿宋_GB2312" w:cs="Times New Roman"/>
          <w:color w:val="auto"/>
          <w:sz w:val="32"/>
          <w:szCs w:val="32"/>
          <w:highlight w:val="none"/>
          <w:lang w:val="zh-CN"/>
        </w:rPr>
        <w:t>乡（镇）人民政府应当加强对行政执法人员法律、法规、标准和专业知识与执法能力培训，并适时组织考核。</w:t>
      </w:r>
    </w:p>
    <w:p w14:paraId="3DB8E9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(四)加强普法宣传。</w:t>
      </w:r>
      <w:r>
        <w:rPr>
          <w:rFonts w:hint="eastAsia" w:ascii="仿宋_GB2312" w:hAnsi="Times New Roman" w:eastAsia="仿宋_GB2312" w:cs="Times New Roman"/>
          <w:color w:val="auto"/>
          <w:sz w:val="32"/>
          <w:szCs w:val="32"/>
          <w:highlight w:val="none"/>
          <w:lang w:val="zh-CN"/>
        </w:rPr>
        <w:t>运用多种方式宣传土地承包转让的法律法规，提升管理相对人和公众的法律意识。</w:t>
      </w:r>
    </w:p>
    <w:p w14:paraId="1E2791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六、主要依据</w:t>
      </w:r>
    </w:p>
    <w:p w14:paraId="49E3B3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1.《中华人民共和国农村土地承包法》；</w:t>
      </w:r>
    </w:p>
    <w:p w14:paraId="4C973E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2.《安徽省实施〈中华人民共和国农村土地承包法〉办法》；</w:t>
      </w:r>
    </w:p>
    <w:p w14:paraId="1B66E9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3.《中华人民共和国森林法》。</w:t>
      </w:r>
    </w:p>
    <w:p w14:paraId="746880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0B7DE7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5C3123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11A756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730CC5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33F309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3AADB0E0">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三十三、乡村兽医备案事中事后监管细则</w:t>
      </w:r>
    </w:p>
    <w:p w14:paraId="115984AC">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（其他权力）</w:t>
      </w:r>
    </w:p>
    <w:p w14:paraId="41DF38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为深入推进简政放权、放管结合、优化服务，加强事中事后监管工作，规范行政行为，根据相关法律法规和《安徽省政府权力运行监督管理办法》，结合</w:t>
      </w:r>
      <w:r>
        <w:rPr>
          <w:rFonts w:hint="eastAsia" w:ascii="仿宋_GB2312" w:cs="Times New Roman"/>
          <w:color w:val="auto"/>
          <w:sz w:val="32"/>
          <w:szCs w:val="32"/>
          <w:highlight w:val="none"/>
          <w:lang w:val="en-US" w:eastAsia="zh-CN"/>
        </w:rPr>
        <w:t>乡村兽医</w:t>
      </w:r>
      <w:r>
        <w:rPr>
          <w:rFonts w:hint="eastAsia" w:ascii="仿宋_GB2312" w:hAnsi="Times New Roman" w:eastAsia="仿宋_GB2312" w:cs="Times New Roman"/>
          <w:color w:val="auto"/>
          <w:sz w:val="32"/>
          <w:szCs w:val="32"/>
          <w:highlight w:val="none"/>
          <w:lang w:val="en-US" w:eastAsia="zh-CN"/>
        </w:rPr>
        <w:t>工作实际</w:t>
      </w:r>
      <w:r>
        <w:rPr>
          <w:rFonts w:hint="eastAsia" w:ascii="仿宋_GB2312" w:hAnsi="Times New Roman" w:eastAsia="仿宋_GB2312" w:cs="Times New Roman"/>
          <w:color w:val="auto"/>
          <w:sz w:val="32"/>
          <w:szCs w:val="32"/>
          <w:highlight w:val="none"/>
          <w:lang w:val="zh-CN"/>
        </w:rPr>
        <w:t>制定本监管细则。</w:t>
      </w:r>
    </w:p>
    <w:p w14:paraId="0E67C8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本细则对应</w:t>
      </w:r>
      <w:r>
        <w:rPr>
          <w:rFonts w:hint="eastAsia" w:ascii="仿宋_GB2312" w:hAnsi="Times New Roman" w:eastAsia="仿宋_GB2312" w:cs="Times New Roman"/>
          <w:color w:val="auto"/>
          <w:sz w:val="32"/>
          <w:szCs w:val="32"/>
          <w:highlight w:val="none"/>
          <w:lang w:val="zh-CN" w:eastAsia="zh-CN"/>
        </w:rPr>
        <w:t>《</w:t>
      </w:r>
      <w:r>
        <w:rPr>
          <w:rFonts w:hint="eastAsia" w:ascii="仿宋_GB2312" w:hAnsi="Times New Roman" w:eastAsia="仿宋_GB2312" w:cs="Times New Roman"/>
          <w:color w:val="auto"/>
          <w:sz w:val="32"/>
          <w:szCs w:val="32"/>
          <w:highlight w:val="none"/>
          <w:lang w:val="en-US" w:eastAsia="zh-CN"/>
        </w:rPr>
        <w:t>屯溪区</w:t>
      </w:r>
      <w:r>
        <w:rPr>
          <w:rFonts w:hint="eastAsia" w:ascii="仿宋_GB2312" w:cs="Times New Roman"/>
          <w:color w:val="auto"/>
          <w:sz w:val="32"/>
          <w:szCs w:val="32"/>
          <w:highlight w:val="none"/>
          <w:lang w:val="en-US" w:eastAsia="zh-CN"/>
        </w:rPr>
        <w:t>镇（街道）审批事项清单</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zh-CN" w:eastAsia="zh-CN"/>
        </w:rPr>
        <w:t>其他权力</w:t>
      </w:r>
      <w:r>
        <w:rPr>
          <w:rFonts w:hint="eastAsia" w:ascii="仿宋_GB2312" w:hAnsi="Times New Roman" w:eastAsia="仿宋_GB2312" w:cs="Times New Roman"/>
          <w:color w:val="auto"/>
          <w:sz w:val="32"/>
          <w:szCs w:val="32"/>
          <w:highlight w:val="none"/>
          <w:lang w:val="zh-CN"/>
        </w:rPr>
        <w:t>第</w:t>
      </w:r>
      <w:r>
        <w:rPr>
          <w:rFonts w:hint="eastAsia" w:ascii="仿宋_GB2312" w:cs="Times New Roman"/>
          <w:color w:val="auto"/>
          <w:sz w:val="32"/>
          <w:szCs w:val="32"/>
          <w:highlight w:val="none"/>
          <w:lang w:val="en-US" w:eastAsia="zh-CN"/>
        </w:rPr>
        <w:t>33</w:t>
      </w:r>
      <w:r>
        <w:rPr>
          <w:rFonts w:hint="eastAsia" w:ascii="仿宋_GB2312" w:hAnsi="Times New Roman" w:eastAsia="仿宋_GB2312" w:cs="Times New Roman"/>
          <w:color w:val="auto"/>
          <w:sz w:val="32"/>
          <w:szCs w:val="32"/>
          <w:highlight w:val="none"/>
          <w:lang w:val="zh-CN"/>
        </w:rPr>
        <w:t>项，项目名称：</w:t>
      </w:r>
      <w:r>
        <w:rPr>
          <w:rFonts w:hint="eastAsia" w:ascii="仿宋_GB2312" w:cs="Times New Roman"/>
          <w:color w:val="auto"/>
          <w:sz w:val="32"/>
          <w:szCs w:val="32"/>
          <w:highlight w:val="none"/>
          <w:lang w:val="zh-CN"/>
        </w:rPr>
        <w:t>乡村兽医备案</w:t>
      </w:r>
    </w:p>
    <w:p w14:paraId="7003ACBB">
      <w:pPr>
        <w:keepNext w:val="0"/>
        <w:keepLines w:val="0"/>
        <w:pageBreakBefore w:val="0"/>
        <w:numPr>
          <w:ilvl w:val="0"/>
          <w:numId w:val="0"/>
        </w:numPr>
        <w:kinsoku/>
        <w:wordWrap/>
        <w:overflowPunct/>
        <w:topLinePunct w:val="0"/>
        <w:bidi w:val="0"/>
        <w:snapToGrid/>
        <w:spacing w:line="560" w:lineRule="exact"/>
        <w:ind w:left="640" w:leftChars="200" w:firstLine="0" w:firstLineChars="0"/>
        <w:jc w:val="left"/>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一、</w:t>
      </w:r>
      <w:r>
        <w:rPr>
          <w:rFonts w:hint="eastAsia" w:ascii="楷体_GB2312" w:hAnsi="楷体_GB2312" w:eastAsia="楷体_GB2312" w:cs="楷体_GB2312"/>
          <w:b/>
          <w:bCs/>
          <w:color w:val="auto"/>
          <w:sz w:val="32"/>
          <w:szCs w:val="32"/>
          <w:highlight w:val="none"/>
        </w:rPr>
        <w:t>监管依据</w:t>
      </w:r>
      <w:r>
        <w:rPr>
          <w:rFonts w:hint="eastAsia" w:ascii="楷体_GB2312" w:hAnsi="楷体_GB2312" w:eastAsia="楷体_GB2312" w:cs="楷体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《乡村兽医管理办法》</w:t>
      </w:r>
    </w:p>
    <w:p w14:paraId="1166B52C">
      <w:pPr>
        <w:keepNext w:val="0"/>
        <w:keepLines w:val="0"/>
        <w:pageBreakBefore w:val="0"/>
        <w:numPr>
          <w:ilvl w:val="0"/>
          <w:numId w:val="0"/>
        </w:numPr>
        <w:kinsoku/>
        <w:wordWrap/>
        <w:overflowPunct/>
        <w:topLinePunct w:val="0"/>
        <w:bidi w:val="0"/>
        <w:snapToGrid/>
        <w:spacing w:line="560" w:lineRule="exact"/>
        <w:ind w:left="640" w:leftChars="200" w:firstLine="0" w:firstLineChars="0"/>
        <w:jc w:val="left"/>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二、监督检查对象</w:t>
      </w:r>
    </w:p>
    <w:p w14:paraId="7221F437">
      <w:pPr>
        <w:keepNext w:val="0"/>
        <w:keepLines w:val="0"/>
        <w:pageBreakBefore w:val="0"/>
        <w:numPr>
          <w:ilvl w:val="0"/>
          <w:numId w:val="0"/>
        </w:numPr>
        <w:kinsoku/>
        <w:wordWrap/>
        <w:overflowPunct/>
        <w:topLinePunct w:val="0"/>
        <w:bidi w:val="0"/>
        <w:snapToGrid/>
        <w:spacing w:line="560" w:lineRule="exact"/>
        <w:ind w:left="640" w:leftChars="200" w:firstLine="0" w:firstLineChars="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从事乡村兽医服务工作的人员。</w:t>
      </w:r>
    </w:p>
    <w:p w14:paraId="115AAE25">
      <w:pPr>
        <w:keepNext w:val="0"/>
        <w:keepLines w:val="0"/>
        <w:pageBreakBefore w:val="0"/>
        <w:numPr>
          <w:ilvl w:val="0"/>
          <w:numId w:val="0"/>
        </w:numPr>
        <w:kinsoku/>
        <w:wordWrap/>
        <w:overflowPunct/>
        <w:topLinePunct w:val="0"/>
        <w:bidi w:val="0"/>
        <w:snapToGrid/>
        <w:spacing w:line="560" w:lineRule="exact"/>
        <w:ind w:left="640" w:leftChars="200" w:firstLine="0" w:firstLineChars="0"/>
        <w:jc w:val="left"/>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三、监督检查内容</w:t>
      </w:r>
    </w:p>
    <w:p w14:paraId="1B72303D">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（一）本</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从业的乡村兽医是否按相关要求程序进行备案。</w:t>
      </w:r>
    </w:p>
    <w:p w14:paraId="0F7740E7">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（二）在村从事动物诊疗服务活动乡村兽医，不得在城区从业。</w:t>
      </w:r>
    </w:p>
    <w:p w14:paraId="17F44D1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（三）在其他</w:t>
      </w:r>
      <w:r>
        <w:rPr>
          <w:rFonts w:hint="eastAsia" w:ascii="仿宋_GB2312" w:hAnsi="仿宋_GB2312" w:eastAsia="仿宋_GB2312" w:cs="仿宋_GB2312"/>
          <w:color w:val="auto"/>
          <w:sz w:val="32"/>
          <w:szCs w:val="32"/>
          <w:highlight w:val="none"/>
          <w:lang w:eastAsia="zh-CN"/>
        </w:rPr>
        <w:t>地区</w:t>
      </w:r>
      <w:r>
        <w:rPr>
          <w:rFonts w:hint="eastAsia" w:ascii="仿宋_GB2312" w:hAnsi="仿宋_GB2312" w:eastAsia="仿宋_GB2312" w:cs="仿宋_GB2312"/>
          <w:color w:val="auto"/>
          <w:sz w:val="32"/>
          <w:szCs w:val="32"/>
          <w:highlight w:val="none"/>
        </w:rPr>
        <w:t>备案后到</w:t>
      </w:r>
      <w:r>
        <w:rPr>
          <w:rFonts w:hint="eastAsia" w:ascii="仿宋_GB2312" w:hAnsi="仿宋_GB2312" w:eastAsia="仿宋_GB2312" w:cs="仿宋_GB2312"/>
          <w:color w:val="auto"/>
          <w:sz w:val="32"/>
          <w:szCs w:val="32"/>
          <w:highlight w:val="none"/>
          <w:lang w:eastAsia="zh-CN"/>
        </w:rPr>
        <w:t>本乡镇</w:t>
      </w:r>
      <w:r>
        <w:rPr>
          <w:rFonts w:hint="eastAsia" w:ascii="仿宋_GB2312" w:hAnsi="仿宋_GB2312" w:eastAsia="仿宋_GB2312" w:cs="仿宋_GB2312"/>
          <w:color w:val="auto"/>
          <w:sz w:val="32"/>
          <w:szCs w:val="32"/>
          <w:highlight w:val="none"/>
        </w:rPr>
        <w:t>从事动物诊疗服务活动的，是否当按程序重新备案。</w:t>
      </w:r>
    </w:p>
    <w:p w14:paraId="19F5CD05">
      <w:pPr>
        <w:keepNext w:val="0"/>
        <w:keepLines w:val="0"/>
        <w:pageBreakBefore w:val="0"/>
        <w:numPr>
          <w:ilvl w:val="0"/>
          <w:numId w:val="0"/>
        </w:numPr>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四、监督检查方式</w:t>
      </w:r>
    </w:p>
    <w:p w14:paraId="1D33AF81">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（一）现场检查。</w:t>
      </w:r>
    </w:p>
    <w:p w14:paraId="676A8E2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（二）"双随机、一公开"随机抽查。</w:t>
      </w:r>
    </w:p>
    <w:p w14:paraId="6EDD1A94">
      <w:pPr>
        <w:keepNext w:val="0"/>
        <w:keepLines w:val="0"/>
        <w:pageBreakBefore w:val="0"/>
        <w:numPr>
          <w:ilvl w:val="0"/>
          <w:numId w:val="0"/>
        </w:numPr>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五、监督检查措施</w:t>
      </w:r>
    </w:p>
    <w:p w14:paraId="6EC46E6D">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（一）建立健全乡村兽医服务人员备案制度，每年根据工作需要，定期或不定期对</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内乡村兽医从业人员进行抽查。</w:t>
      </w:r>
    </w:p>
    <w:p w14:paraId="6B4090EF">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（二）开展"双随机、一公开"监管。</w:t>
      </w:r>
    </w:p>
    <w:p w14:paraId="0E967C23">
      <w:pPr>
        <w:keepNext w:val="0"/>
        <w:keepLines w:val="0"/>
        <w:pageBreakBefore w:val="0"/>
        <w:numPr>
          <w:ilvl w:val="0"/>
          <w:numId w:val="0"/>
        </w:numPr>
        <w:kinsoku/>
        <w:wordWrap/>
        <w:overflowPunct/>
        <w:topLinePunct w:val="0"/>
        <w:bidi w:val="0"/>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六、监督检查处理</w:t>
      </w:r>
    </w:p>
    <w:p w14:paraId="5D66BF5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（一）对不按要求备案的依法设定并追究法律责任。</w:t>
      </w:r>
    </w:p>
    <w:p w14:paraId="5C98AB5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（二）发现违法违规行为依法查处并向社会公开结果。</w:t>
      </w:r>
    </w:p>
    <w:p w14:paraId="64FEBEDE">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（三）对违法违规从业人员如实记录违法失信行为。</w:t>
      </w:r>
    </w:p>
    <w:p w14:paraId="271E021C">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4235B9EC">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5AF0A185">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7C32AA22">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3FC26258">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6F272C2B">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73DF9FC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16DB9DD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0C4357C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55C2779D">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4066FE70">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2CC3019E">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05D4DA9F">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77D82F76">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2EE3DD0C">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11BE8619">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三十四、责令立即排除隐患、从危险区域内撤出作业人员、暂时停产停业或者停止使用相关设施、设备事中事后监管细则</w:t>
      </w:r>
    </w:p>
    <w:p w14:paraId="3DC927D1">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54085323">
      <w:pPr>
        <w:keepNext w:val="0"/>
        <w:keepLines w:val="0"/>
        <w:pageBreakBefore w:val="0"/>
        <w:numPr>
          <w:ilvl w:val="0"/>
          <w:numId w:val="0"/>
        </w:numPr>
        <w:kinsoku/>
        <w:wordWrap/>
        <w:overflowPunct/>
        <w:topLinePunct w:val="0"/>
        <w:bidi w:val="0"/>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主要依据：</w:t>
      </w:r>
    </w:p>
    <w:p w14:paraId="391CE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安全生产法》（主席令第70号，2014年修正）第六十二条第一款第四项：“安全生产监督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EB3E4B7">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22832A84">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1FA4BD98">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6574EB9C">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6DADD82E">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117232E7">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6C158CA9">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53A35B7E">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宋体" w:hAnsi="宋体" w:eastAsia="宋体" w:cs="宋体"/>
          <w:color w:val="auto"/>
          <w:sz w:val="44"/>
          <w:szCs w:val="44"/>
          <w:highlight w:val="none"/>
          <w:lang w:val="en-US" w:eastAsia="zh-CN"/>
        </w:rPr>
      </w:pPr>
    </w:p>
    <w:p w14:paraId="71850C22">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1A0A8E1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三十五、自然灾害生活救助对象审核转报</w:t>
      </w:r>
    </w:p>
    <w:p w14:paraId="0A596DB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事中事后监管细则（其他权力）</w:t>
      </w:r>
    </w:p>
    <w:p w14:paraId="454719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一、监管任务</w:t>
      </w:r>
    </w:p>
    <w:p w14:paraId="5CA232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乡镇依照法律法规的规定开展自然灾害生活救助对象审核转报事中事后监督管理，规范自然灾害生活救助对象审核转报行为，保护社会救助人员的合法权益，纠正和查处违法行为。</w:t>
      </w:r>
    </w:p>
    <w:p w14:paraId="500509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二、事中监管</w:t>
      </w:r>
    </w:p>
    <w:p w14:paraId="67C42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严格执行乡镇统一受理、办理结果公开等制度和规定。</w:t>
      </w:r>
    </w:p>
    <w:p w14:paraId="32E8D4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1、受理监管。乡镇是否公示自然灾害生活救助对象审核转报依法应当提交的材料清单，是否一次性告知需补正材料，是否依法受理或不予受理(不予受理应当告知理由)。</w:t>
      </w:r>
    </w:p>
    <w:p w14:paraId="454501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2、审查监管。乡镇是否按规定时限对自然灾害生活救助对象审核转报申请材料依法进行审查、提出审查意见。</w:t>
      </w:r>
    </w:p>
    <w:p w14:paraId="23FD8D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3、决定监管。是否按规定执行自然灾害生活救助对象审核转报程序，依法作出审核或者不予审核决定，进行法定告知（不予审核的要说明理由并告知享有依法申请行政复议或者提起行政诉讼的权利）。</w:t>
      </w:r>
    </w:p>
    <w:p w14:paraId="5A38C5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三、事后监管</w:t>
      </w:r>
    </w:p>
    <w:p w14:paraId="014AC2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（一）跟踪检查</w:t>
      </w:r>
    </w:p>
    <w:p w14:paraId="0E654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自然灾害生活救助对象审核转报后，应不定时对临时救助人员进行回访，评估临时救助人员家庭经济状况。</w:t>
      </w:r>
    </w:p>
    <w:p w14:paraId="0F7F9D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（二）协同监管</w:t>
      </w:r>
    </w:p>
    <w:p w14:paraId="3C992D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1、信息共享。乡镇建立台账，审核事项完成后及时将审核情况报</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民政局、</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财政局、</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应急管理局等部门备案。</w:t>
      </w:r>
    </w:p>
    <w:p w14:paraId="468D4C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2、联动监管。加强与公安等部门的沟通协作，依法查处违法案件，涉嫌犯罪的，按照有关规定及时将案件移送公安机关。</w:t>
      </w:r>
    </w:p>
    <w:p w14:paraId="5A5C3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（三）信用监管。</w:t>
      </w:r>
    </w:p>
    <w:p w14:paraId="2E98FF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1、信用记录。建立救助申请人信用档案，记录许可颁发、日常监督检查结果、违法行为查处等情况。</w:t>
      </w:r>
    </w:p>
    <w:p w14:paraId="660E78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2、信用惩戒。对有不良信用记录的救助申请人增加监督检查频次，对违法行为情节严重的，及时通报相关协同监管机构。</w:t>
      </w:r>
    </w:p>
    <w:p w14:paraId="1BBEF4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（四）社会监督。</w:t>
      </w:r>
    </w:p>
    <w:p w14:paraId="2056F5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乡镇公布本单位的电子邮件地址或者电话，接受自然灾害生活救助对象审核转报事项咨询、投诉、举报。接到咨询、投诉、举报，对属于本单位职责的，应当受理并在法定期限内及时答复、核实、处理；对不属于本单位职责的，应当移交有权处理的部门并书面通知咨询、投诉、举报人。有权处理部门应当在法定期限内及时处理，不得推诿、扯皮。</w:t>
      </w:r>
    </w:p>
    <w:p w14:paraId="0DF4DE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四、责任追究</w:t>
      </w:r>
    </w:p>
    <w:p w14:paraId="452AFF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乡镇应加强对其他权力行为的监督问责。对符合法定条件的审核申请不予受理的；对不符合法定条件的申请人准予审核或者超越法定职权作出准予审核决定的；对符合法定条件的申请人不予审核或者不在法定期限内作出准予审核决定的；不依法履行监督职责或者监督不力，损害行政相对人和利害关系人的合法权益的，对直接负责的主管人员和其他直接责任人员依法给予处分，构成犯罪的，依法追究刑事责任。</w:t>
      </w:r>
    </w:p>
    <w:p w14:paraId="1854AD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乡镇应加强对审核工作人员的监督问责。工作人员擅自增设、变更涉及审核程序或审核条件；收受贿赂、获取其他利益，或者为他人谋取不正当利益提供方便的收受贿赂、获取其他利益，构成犯罪的，依法追究刑事责任；尚不构成犯罪的，依法给予行政处分。</w:t>
      </w:r>
    </w:p>
    <w:p w14:paraId="6CE41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五、保障措施</w:t>
      </w:r>
    </w:p>
    <w:p w14:paraId="14632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（一）强化组织领导。</w:t>
      </w:r>
      <w:r>
        <w:rPr>
          <w:rFonts w:hint="eastAsia" w:ascii="仿宋_GB2312" w:hAnsi="仿宋_GB2312" w:eastAsia="仿宋_GB2312" w:cs="仿宋_GB2312"/>
          <w:i w:val="0"/>
          <w:iCs w:val="0"/>
          <w:caps w:val="0"/>
          <w:color w:val="auto"/>
          <w:spacing w:val="0"/>
          <w:sz w:val="32"/>
          <w:szCs w:val="32"/>
          <w:highlight w:val="none"/>
          <w:shd w:val="clear" w:fill="FFFFFF"/>
        </w:rPr>
        <w:t>乡镇要高度重视自然灾害生活救助对象审核转报工作，按照受理审核、批准决定与监督检查职能相互分离、相互监督、相互配合和简政放权、放管结合、转变职能的要求，强化组织领导，完善监管办法，落实保障措施，畅通举报渠道，严肃查处问题，确保事中事后监管工作有序推进。</w:t>
      </w:r>
    </w:p>
    <w:p w14:paraId="2D4230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（二）加强人员培训。</w:t>
      </w:r>
      <w:r>
        <w:rPr>
          <w:rFonts w:hint="eastAsia" w:ascii="仿宋_GB2312" w:hAnsi="仿宋_GB2312" w:eastAsia="仿宋_GB2312" w:cs="仿宋_GB2312"/>
          <w:i w:val="0"/>
          <w:iCs w:val="0"/>
          <w:caps w:val="0"/>
          <w:color w:val="auto"/>
          <w:spacing w:val="0"/>
          <w:sz w:val="32"/>
          <w:szCs w:val="32"/>
          <w:highlight w:val="none"/>
          <w:shd w:val="clear" w:fill="FFFFFF"/>
        </w:rPr>
        <w:t>乡镇应当加强对执法人员关于社会救助法律、法规、标准和专业知识与执法能力等的培训，并组织考核。不具备相应知识和能力的，不得从事监管工作。</w:t>
      </w:r>
    </w:p>
    <w:p w14:paraId="2E686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（三）加强普法宣传。</w:t>
      </w:r>
      <w:r>
        <w:rPr>
          <w:rFonts w:hint="eastAsia" w:ascii="仿宋_GB2312" w:hAnsi="仿宋_GB2312" w:eastAsia="仿宋_GB2312" w:cs="仿宋_GB2312"/>
          <w:i w:val="0"/>
          <w:iCs w:val="0"/>
          <w:caps w:val="0"/>
          <w:color w:val="auto"/>
          <w:spacing w:val="0"/>
          <w:sz w:val="32"/>
          <w:szCs w:val="32"/>
          <w:highlight w:val="none"/>
          <w:shd w:val="clear" w:fill="FFFFFF"/>
        </w:rPr>
        <w:t>运用多种方式宣传社会救助法律法规，提升管理相对人和公众的法律意见。</w:t>
      </w:r>
    </w:p>
    <w:p w14:paraId="7A0A74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六、主要依据</w:t>
      </w:r>
    </w:p>
    <w:p w14:paraId="6668E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《社会救助暂行办法》</w:t>
      </w:r>
    </w:p>
    <w:p w14:paraId="407545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《安徽省自然灾害救灾资金管理实施细则》</w:t>
      </w:r>
    </w:p>
    <w:p w14:paraId="57FEB9C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6336D27">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三十六、对生产经营单位安全生产监督检查事中事后监管细则</w:t>
      </w:r>
    </w:p>
    <w:p w14:paraId="025BEC0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4E49C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一、监管任务</w:t>
      </w:r>
    </w:p>
    <w:p w14:paraId="2A5A7D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镇政府依照《安全生产事故隐患排查治理暂行规定》等相关行政法规等规定，通过对辖区内生产经营单位安全生产状况进行监管，全面、深入排查治理各类事故隐患，进一步完善重大隐患政府挂牌督办制度，深化重点行业领域安全专项整治，推动安全生产责任制和责任追究制的落实，完善安全生产规章制度，健全隐患排查治理及重大危险源监控的长效机制，强化安全生产基础，提高安全管理水平，有效防范和遏制重特大事故的发生，坚决把事故的指标压下来，努力实现全年安全生产形势的进一步稳定好转。</w:t>
      </w:r>
    </w:p>
    <w:p w14:paraId="3AA747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default"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二、监管措施</w:t>
      </w:r>
    </w:p>
    <w:p w14:paraId="7126A6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b/>
          <w:bCs/>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（一）监督检查</w:t>
      </w:r>
    </w:p>
    <w:p w14:paraId="582B6B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1.监督检查内容：</w:t>
      </w:r>
    </w:p>
    <w:p w14:paraId="209F2B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全镇各行业（领域）和各类生产经营单位。主要包括：</w:t>
      </w:r>
    </w:p>
    <w:p w14:paraId="4F544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（1）以公路为重点的交通运输领域。</w:t>
      </w:r>
    </w:p>
    <w:p w14:paraId="7289A3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（2）以非煤矿山为重点的矿山领域。</w:t>
      </w:r>
    </w:p>
    <w:p w14:paraId="11D2F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（3）以危险化学品为重点的工业领域。</w:t>
      </w:r>
    </w:p>
    <w:p w14:paraId="47ED20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（4）以住房建设项目为重点的建筑领域。</w:t>
      </w:r>
    </w:p>
    <w:p w14:paraId="7FA1F5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（5）学校、等各类生产经营单位、各类企业。都要立足实际，确定安全隐患排查重点，认真排查整治。各相关主管部门要牵头负责，切实做实、做好安全隐患排查整治的各项工作。</w:t>
      </w:r>
    </w:p>
    <w:p w14:paraId="61796F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对本镇内各生产经营单位认真、全面、系统地开展隐患排查，不仅要查现场隐患，更要查管理上的漏洞和制度上的缺陷：一查责任和制度落实情况；二查新技术、新设计、新装备、新工艺的运行投用检验情况；三查关键设备、场所和环节；四查应急预案制定和演练情况。</w:t>
      </w:r>
    </w:p>
    <w:p w14:paraId="5E6E5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b/>
          <w:bCs/>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2</w:t>
      </w:r>
      <w:r>
        <w:rPr>
          <w:rFonts w:hint="eastAsia" w:ascii="仿宋_GB2312" w:hAnsi="Calibri" w:cs="仿宋_GB2312"/>
          <w:b/>
          <w:bCs/>
          <w:i w:val="0"/>
          <w:iCs w:val="0"/>
          <w:caps w:val="0"/>
          <w:color w:val="auto"/>
          <w:spacing w:val="0"/>
          <w:kern w:val="0"/>
          <w:sz w:val="32"/>
          <w:szCs w:val="32"/>
          <w:highlight w:val="none"/>
          <w:shd w:val="clear" w:fill="FFFFFF"/>
          <w:lang w:val="en-US" w:eastAsia="zh-CN" w:bidi="ar"/>
        </w:rPr>
        <w:t>．</w:t>
      </w: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监督检查方式：</w:t>
      </w:r>
    </w:p>
    <w:p w14:paraId="601FE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镇政府成立隐患排查领导小组并组织2名以上的执法人员进行现场调查，调查内容包括：</w:t>
      </w:r>
    </w:p>
    <w:p w14:paraId="19C916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（1）听取生产经营单位汇报、查阅相关资料。</w:t>
      </w:r>
    </w:p>
    <w:p w14:paraId="5D0CDB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（2）深入生产经营单位一线排查。</w:t>
      </w:r>
    </w:p>
    <w:p w14:paraId="353695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（3）深入安全隐患点督查。</w:t>
      </w:r>
    </w:p>
    <w:p w14:paraId="2F9C4A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隐患排查治理工作要与安全生产专项整治、与日常监管监察执法、与加强生产经营单位安全管理相结合，进一步完善隐患排查机制、分级监控治理机制和重大隐患政府挂牌督办机制，建立健全隐患排查治理长效机制。</w:t>
      </w:r>
    </w:p>
    <w:p w14:paraId="35E822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3</w:t>
      </w:r>
      <w:r>
        <w:rPr>
          <w:rFonts w:hint="eastAsia" w:ascii="仿宋_GB2312" w:hAnsi="Calibri" w:cs="仿宋_GB2312"/>
          <w:b/>
          <w:bCs/>
          <w:i w:val="0"/>
          <w:iCs w:val="0"/>
          <w:caps w:val="0"/>
          <w:color w:val="auto"/>
          <w:spacing w:val="0"/>
          <w:kern w:val="0"/>
          <w:sz w:val="32"/>
          <w:szCs w:val="32"/>
          <w:highlight w:val="none"/>
          <w:shd w:val="clear" w:fill="FFFFFF"/>
          <w:lang w:val="en-US" w:eastAsia="zh-CN" w:bidi="ar"/>
        </w:rPr>
        <w:t>．</w:t>
      </w: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监督检查程序：</w:t>
      </w: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严格工作要求，规范开展隐患排查治理。做好排查记录。</w:t>
      </w:r>
    </w:p>
    <w:p w14:paraId="4F4957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4</w:t>
      </w:r>
      <w:r>
        <w:rPr>
          <w:rFonts w:hint="eastAsia" w:ascii="仿宋_GB2312" w:hAnsi="Calibri" w:cs="仿宋_GB2312"/>
          <w:b/>
          <w:bCs/>
          <w:i w:val="0"/>
          <w:iCs w:val="0"/>
          <w:caps w:val="0"/>
          <w:color w:val="auto"/>
          <w:spacing w:val="0"/>
          <w:kern w:val="0"/>
          <w:sz w:val="32"/>
          <w:szCs w:val="32"/>
          <w:highlight w:val="none"/>
          <w:shd w:val="clear" w:fill="FFFFFF"/>
          <w:lang w:val="en-US" w:eastAsia="zh-CN" w:bidi="ar"/>
        </w:rPr>
        <w:t>．</w:t>
      </w: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监督检查处理：</w:t>
      </w: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对于相关工作人员不履行相关法律法规赋予的职责，对直接负责的主管人员和其他直接责任人员依法给予行政处分；构成犯罪的，依法追究刑事责任。</w:t>
      </w:r>
    </w:p>
    <w:p w14:paraId="2705DE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b/>
          <w:bCs/>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（二）协同监督</w:t>
      </w:r>
    </w:p>
    <w:p w14:paraId="5C36B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根据《安全生产事故隐患排查治理暂行规定》规定，镇政府配合上级行政主管部门、</w:t>
      </w:r>
      <w:r>
        <w:rPr>
          <w:rFonts w:hint="eastAsia" w:ascii="仿宋_GB2312" w:hAnsi="Calibri" w:cs="仿宋_GB2312"/>
          <w:i w:val="0"/>
          <w:iCs w:val="0"/>
          <w:caps w:val="0"/>
          <w:color w:val="auto"/>
          <w:spacing w:val="0"/>
          <w:kern w:val="0"/>
          <w:sz w:val="32"/>
          <w:szCs w:val="32"/>
          <w:highlight w:val="none"/>
          <w:shd w:val="clear" w:fill="FFFFFF"/>
          <w:lang w:val="en-US" w:eastAsia="zh-CN" w:bidi="ar"/>
        </w:rPr>
        <w:t>区</w:t>
      </w: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安全生产监督管理局等相关单位，开展对生产经营单位排查治理事故隐患工作，严格执行相关法规条例。</w:t>
      </w:r>
    </w:p>
    <w:p w14:paraId="5807D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三、责任追究</w:t>
      </w:r>
    </w:p>
    <w:p w14:paraId="188F64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因不履行或不正确履行行政职责，有下列情形的，行政机关及相关工作人员应承担相应责任：</w:t>
      </w:r>
    </w:p>
    <w:p w14:paraId="4ED395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1.侵犯公民人身权、财产权和其他合法权益的；</w:t>
      </w:r>
    </w:p>
    <w:p w14:paraId="7B1BA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2.滥用职权、玩忽职守、徇私舞弊的；</w:t>
      </w:r>
    </w:p>
    <w:p w14:paraId="7EC0C1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3.索取、收受贿赂的。</w:t>
      </w:r>
    </w:p>
    <w:p w14:paraId="35339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4.其他违反法律法规政策规定的行为。</w:t>
      </w:r>
    </w:p>
    <w:p w14:paraId="633EEE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四、保障措施</w:t>
      </w:r>
    </w:p>
    <w:p w14:paraId="4B17C5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（一）加强领导，落实责任。</w:t>
      </w: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切实加强对安全生产隐患排查治理工作的组织领导，建立和落实隐患排查治理责任制。</w:t>
      </w:r>
    </w:p>
    <w:p w14:paraId="3E7766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（二）落实整改，确保到位。</w:t>
      </w: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生产经营单位对查出的事故隐患必须立即整改，重大隐患要制定整改方案，按计划组织整改切实做到整改措施、责任、资金、时限和预案“五到位”，确保资金投入，加快整改进度，搞好跟踪落实，及时整改销号。</w:t>
      </w:r>
    </w:p>
    <w:p w14:paraId="1B23A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（三）强化督查，严格执法。</w:t>
      </w: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强化隐患排查治理工作全过程的督促、检查。要强化行政执法，严肃查处违反安全生产法律法规，存在重大隐患的生产经营单位，对隐患排查治理工作不力而引发事故的，依法严肃追究责任。</w:t>
      </w:r>
    </w:p>
    <w:p w14:paraId="589422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32"/>
          <w:szCs w:val="32"/>
          <w:highlight w:val="none"/>
          <w:shd w:val="clear" w:fill="FFFFFF"/>
          <w:lang w:val="en-US" w:eastAsia="zh-CN" w:bidi="ar"/>
        </w:rPr>
        <w:t>（四）加大宣传，营造氛围。</w:t>
      </w:r>
      <w:r>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t>加大舆论监督和群众监督力度。</w:t>
      </w:r>
    </w:p>
    <w:p w14:paraId="24C39FCB">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5D9BD500">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13845E12">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5F6FB056">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58123AB8">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75A8E260">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267D3BB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19A7599E">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74E30C23">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638F9403">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2CA93CF5">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5BC822E0">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7642E022">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765F8916">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仿宋" w:hAnsi="仿宋" w:eastAsia="仿宋" w:cs="仿宋"/>
          <w:color w:val="auto"/>
          <w:sz w:val="32"/>
          <w:szCs w:val="32"/>
          <w:highlight w:val="none"/>
          <w:lang w:val="en-US" w:eastAsia="zh-CN"/>
        </w:rPr>
      </w:pPr>
    </w:p>
    <w:p w14:paraId="74236FD2">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15477B02">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三十七、农村集体聚餐厨师备案事中事后监管细则</w:t>
      </w:r>
    </w:p>
    <w:p w14:paraId="2822ED6D">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0196A8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810" w:firstLineChars="252"/>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一、监管要求</w:t>
      </w:r>
    </w:p>
    <w:p w14:paraId="1AF12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ascii="仿宋_GB2312" w:hAnsi="微软雅黑" w:eastAsia="仿宋_GB2312" w:cs="仿宋_GB2312"/>
          <w:i w:val="0"/>
          <w:iCs w:val="0"/>
          <w:caps w:val="0"/>
          <w:color w:val="auto"/>
          <w:spacing w:val="0"/>
          <w:kern w:val="0"/>
          <w:sz w:val="32"/>
          <w:szCs w:val="32"/>
          <w:highlight w:val="none"/>
          <w:shd w:val="clear" w:fill="FFFFFF"/>
          <w:lang w:val="en-US" w:eastAsia="zh-CN" w:bidi="ar"/>
        </w:rPr>
        <w:t>乡镇</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人民政府依法依规、公开透明、规范运行、创新管理的原则，对农村集体聚餐厨师备案工作加强事中事后的监督管理，保障食品安全，强化政府服务职责。</w:t>
      </w:r>
    </w:p>
    <w:p w14:paraId="3C5521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810" w:firstLineChars="25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二、监管措施</w:t>
      </w:r>
    </w:p>
    <w:p w14:paraId="44BDB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微软雅黑" w:hAnsi="微软雅黑" w:eastAsia="微软雅黑" w:cs="微软雅黑"/>
          <w:i w:val="0"/>
          <w:iCs w:val="0"/>
          <w:caps w:val="0"/>
          <w:color w:val="auto"/>
          <w:spacing w:val="0"/>
          <w:sz w:val="24"/>
          <w:szCs w:val="24"/>
          <w:highlight w:val="none"/>
        </w:rPr>
      </w:pPr>
      <w:r>
        <w:rPr>
          <w:rFonts w:ascii="楷体" w:hAnsi="楷体" w:eastAsia="楷体" w:cs="楷体"/>
          <w:b/>
          <w:bCs/>
          <w:i w:val="0"/>
          <w:iCs w:val="0"/>
          <w:caps w:val="0"/>
          <w:color w:val="auto"/>
          <w:spacing w:val="0"/>
          <w:kern w:val="0"/>
          <w:sz w:val="32"/>
          <w:szCs w:val="32"/>
          <w:highlight w:val="none"/>
          <w:shd w:val="clear" w:fill="FFFFFF"/>
          <w:lang w:val="en-US" w:eastAsia="zh-CN" w:bidi="ar"/>
        </w:rPr>
        <w:t>（一）流程监管</w:t>
      </w:r>
    </w:p>
    <w:p w14:paraId="56A2E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1.加强权力运行流程监管。落实受理、审查和决定、送达、事后监管等阶段应履行的权责事项，规范权力运行流程，强化全程标准化监管。</w:t>
      </w:r>
    </w:p>
    <w:p w14:paraId="5CCB75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2.规范受理工作。符合受理条件的，依法受理；不符合受理条件的，告知理由；需要补正材料的，一次性告知。</w:t>
      </w:r>
    </w:p>
    <w:p w14:paraId="555A94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3.强化廉政风险防控。主要对现场检查、材料审查、项目许可等廉政风险点进行管理，强化权力运行制约监督。</w:t>
      </w:r>
    </w:p>
    <w:p w14:paraId="582EE7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4.作出审核或备案决定。申请材料齐全、符合法定形式的，1个工作日内作出同意备案决定。</w:t>
      </w:r>
    </w:p>
    <w:p w14:paraId="5D0BA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5.及时做好送达工作。按规定制作并送达批文，并做到信息公开（不予批准的应当告知理由及救济途径）。</w:t>
      </w:r>
    </w:p>
    <w:p w14:paraId="52F75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（二）公开公告</w:t>
      </w:r>
    </w:p>
    <w:p w14:paraId="5A29B5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1.推行信息公开公示制度。落实信息公示责任，做到办理环节公开透明，办事流程公开，办理结果向社会公开，接受监督。</w:t>
      </w:r>
    </w:p>
    <w:p w14:paraId="025A0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2.公开主要监管依据。根据监管需要，梳理有关法律法规规章和规范性文件，列明主要监管依据，并予以公开。</w:t>
      </w:r>
    </w:p>
    <w:p w14:paraId="0CC197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b/>
          <w:bCs/>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（三）监督检查</w:t>
      </w:r>
    </w:p>
    <w:p w14:paraId="34EDF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1.对申请许可的项目进行材料审查。列明审查材料目录，明确审查的重点内容，主要是合规性、有效性及是否齐全。</w:t>
      </w:r>
    </w:p>
    <w:p w14:paraId="739C5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（四）协同监管</w:t>
      </w:r>
    </w:p>
    <w:p w14:paraId="49A599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健全协调监管机制。推动安监部门协同联动，建立健全事前监管与事后监管协调一致的监管机制。</w:t>
      </w:r>
    </w:p>
    <w:p w14:paraId="6CD4F3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（五）政务服务</w:t>
      </w:r>
    </w:p>
    <w:p w14:paraId="535324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1.清理法规规章政策。及时清理、修订、完善地方性法规、政府规章以及有关规范性文件，加快制定完善配套监管服务措施。</w:t>
      </w:r>
    </w:p>
    <w:p w14:paraId="009EB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2.组织开展卷宗评查。局业务科室对授权行政服务中心环保窗口权力事项办理卷宗进行评查，督促窗口依法行使权力。</w:t>
      </w:r>
    </w:p>
    <w:p w14:paraId="0FDEFA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810" w:firstLineChars="25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三、责任追究</w:t>
      </w:r>
    </w:p>
    <w:p w14:paraId="66A842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（一）加强监督。</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重点监督有关监管人员是否履行职责，对不作为、乱作为情况，按规定进行监督问责。</w:t>
      </w:r>
    </w:p>
    <w:p w14:paraId="032D8A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（二）健全责任追究机制。</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依据有关法律法规和《屯溪屯光镇行政权力清单和责任清单》，实行过错责任追究，根据过错责任的大小实施相应的追究方式。</w:t>
      </w:r>
    </w:p>
    <w:p w14:paraId="22684F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（三）强化对行政权力行使人的监管。</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制定和执行规范的权力运行流程和标准，严格依照规定运行权力。</w:t>
      </w:r>
    </w:p>
    <w:p w14:paraId="02B6E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（四）加强对公职人员的问责。</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国家工作人员不履行法定职责、超越或者滥用法定职权的，依法给予行政处分，构成犯罪的，依法追究刑事责任。</w:t>
      </w:r>
    </w:p>
    <w:p w14:paraId="6F0771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810" w:firstLineChars="25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四、保障措施</w:t>
      </w:r>
    </w:p>
    <w:p w14:paraId="55D3E5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（一）加强事中事后监管，彻底解决</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重审批轻监管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的问题。</w:t>
      </w:r>
    </w:p>
    <w:p w14:paraId="7F41C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（二）建立权责清单动态管理机制。根据有关法律、法规、规章的颁布、修改、废止、解释和上级政府取消调整权力事项等情况，适时按规定调整权责清单。</w:t>
      </w:r>
    </w:p>
    <w:p w14:paraId="7E690E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（三）加强组织协调。强化组织领导，健全协调机制，落实监管措施，确保事中事后监管工作有序推进。</w:t>
      </w:r>
    </w:p>
    <w:p w14:paraId="4B0D9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（四）强化人员培训。加强对窗口工作人员有关法律、法规、标准和专业知识与执法能力培训，提高办事人员素质。</w:t>
      </w:r>
    </w:p>
    <w:p w14:paraId="44C754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810" w:firstLineChars="25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五、主要依据</w:t>
      </w:r>
    </w:p>
    <w:p w14:paraId="7683FB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《安徽省食品安全条例》</w:t>
      </w:r>
    </w:p>
    <w:p w14:paraId="04520AA4">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DF69B2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14:paraId="5BC2E01A">
      <w:pPr>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br w:type="page"/>
      </w:r>
    </w:p>
    <w:p w14:paraId="79B9612D">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黑体" w:hAnsi="黑体" w:eastAsia="黑体" w:cs="黑体"/>
          <w:color w:val="auto"/>
          <w:highlight w:val="none"/>
        </w:rPr>
      </w:pPr>
      <w:r>
        <w:rPr>
          <w:rFonts w:hint="eastAsia" w:ascii="黑体" w:hAnsi="黑体" w:eastAsia="黑体" w:cs="黑体"/>
          <w:color w:val="auto"/>
          <w:highlight w:val="none"/>
          <w:lang w:eastAsia="zh-CN"/>
        </w:rPr>
        <w:t>三十八、</w:t>
      </w:r>
      <w:r>
        <w:rPr>
          <w:rFonts w:hint="eastAsia" w:ascii="黑体" w:hAnsi="黑体" w:eastAsia="黑体" w:cs="黑体"/>
          <w:color w:val="auto"/>
          <w:highlight w:val="none"/>
        </w:rPr>
        <w:t>占用、拆除、改动、迁移城市照明设施批准</w:t>
      </w:r>
    </w:p>
    <w:p w14:paraId="31C8ECAA">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事中事后监管细则</w:t>
      </w:r>
    </w:p>
    <w:p w14:paraId="2DFE2C4E">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（其他权力）</w:t>
      </w:r>
    </w:p>
    <w:p w14:paraId="35911A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color w:val="auto"/>
          <w:sz w:val="32"/>
          <w:szCs w:val="32"/>
          <w:highlight w:val="none"/>
          <w:lang w:val="zh-CN"/>
        </w:rPr>
        <w:t>为深入推进简政放权、放管结合、优化服务，加强事中事后监管工作，规范行政行为，根据相关法律法规和《安徽省政府权力运行监督管理办法》，结合</w:t>
      </w:r>
      <w:r>
        <w:rPr>
          <w:rFonts w:hint="eastAsia" w:ascii="仿宋_GB2312" w:cs="Times New Roman"/>
          <w:color w:val="auto"/>
          <w:sz w:val="32"/>
          <w:szCs w:val="32"/>
          <w:highlight w:val="none"/>
          <w:lang w:val="en-US" w:eastAsia="zh-CN"/>
        </w:rPr>
        <w:t>乡城市照明</w:t>
      </w:r>
      <w:r>
        <w:rPr>
          <w:rFonts w:hint="eastAsia" w:ascii="仿宋_GB2312" w:hAnsi="Times New Roman" w:eastAsia="仿宋_GB2312" w:cs="Times New Roman"/>
          <w:color w:val="auto"/>
          <w:sz w:val="32"/>
          <w:szCs w:val="32"/>
          <w:highlight w:val="none"/>
          <w:lang w:val="en-US" w:eastAsia="zh-CN"/>
        </w:rPr>
        <w:t>工作实际</w:t>
      </w:r>
      <w:r>
        <w:rPr>
          <w:rFonts w:hint="eastAsia" w:ascii="仿宋_GB2312" w:hAnsi="Times New Roman" w:eastAsia="仿宋_GB2312" w:cs="Times New Roman"/>
          <w:color w:val="auto"/>
          <w:sz w:val="32"/>
          <w:szCs w:val="32"/>
          <w:highlight w:val="none"/>
          <w:lang w:val="zh-CN"/>
        </w:rPr>
        <w:t>制定本监管细则。</w:t>
      </w:r>
    </w:p>
    <w:p w14:paraId="405C881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color w:val="auto"/>
          <w:highlight w:val="none"/>
        </w:rPr>
      </w:pPr>
      <w:r>
        <w:rPr>
          <w:rFonts w:hint="eastAsia" w:ascii="仿宋_GB2312" w:hAnsi="Times New Roman" w:eastAsia="仿宋_GB2312" w:cs="Times New Roman"/>
          <w:color w:val="auto"/>
          <w:sz w:val="32"/>
          <w:szCs w:val="32"/>
          <w:highlight w:val="none"/>
          <w:lang w:val="zh-CN"/>
        </w:rPr>
        <w:t>本细则对应</w:t>
      </w:r>
      <w:r>
        <w:rPr>
          <w:rFonts w:hint="eastAsia" w:ascii="仿宋_GB2312" w:hAnsi="Times New Roman" w:eastAsia="仿宋_GB2312" w:cs="Times New Roman"/>
          <w:color w:val="auto"/>
          <w:sz w:val="32"/>
          <w:szCs w:val="32"/>
          <w:highlight w:val="none"/>
          <w:lang w:val="zh-CN" w:eastAsia="zh-CN"/>
        </w:rPr>
        <w:t>《</w:t>
      </w:r>
      <w:r>
        <w:rPr>
          <w:rFonts w:hint="eastAsia" w:ascii="仿宋_GB2312" w:hAnsi="Times New Roman" w:eastAsia="仿宋_GB2312" w:cs="Times New Roman"/>
          <w:color w:val="auto"/>
          <w:sz w:val="32"/>
          <w:szCs w:val="32"/>
          <w:highlight w:val="none"/>
          <w:lang w:val="en-US" w:eastAsia="zh-CN"/>
        </w:rPr>
        <w:t>屯溪区</w:t>
      </w:r>
      <w:r>
        <w:rPr>
          <w:rFonts w:hint="eastAsia" w:ascii="仿宋_GB2312" w:cs="Times New Roman"/>
          <w:color w:val="auto"/>
          <w:sz w:val="32"/>
          <w:szCs w:val="32"/>
          <w:highlight w:val="none"/>
          <w:lang w:val="en-US" w:eastAsia="zh-CN"/>
        </w:rPr>
        <w:t>镇（街道）审批事项清单</w:t>
      </w:r>
      <w:r>
        <w:rPr>
          <w:rFonts w:hint="eastAsia" w:ascii="仿宋_GB2312" w:hAnsi="Times New Roman" w:eastAsia="仿宋_GB2312" w:cs="Times New Roman"/>
          <w:color w:val="auto"/>
          <w:sz w:val="32"/>
          <w:szCs w:val="32"/>
          <w:highlight w:val="none"/>
          <w:lang w:val="zh-CN" w:eastAsia="zh-CN"/>
        </w:rPr>
        <w:t>》</w:t>
      </w:r>
      <w:r>
        <w:rPr>
          <w:rFonts w:hint="eastAsia" w:ascii="仿宋_GB2312" w:cs="Times New Roman"/>
          <w:color w:val="auto"/>
          <w:sz w:val="32"/>
          <w:szCs w:val="32"/>
          <w:highlight w:val="none"/>
          <w:lang w:val="zh-CN" w:eastAsia="zh-CN"/>
        </w:rPr>
        <w:t>其他权力</w:t>
      </w:r>
      <w:r>
        <w:rPr>
          <w:rFonts w:hint="eastAsia" w:ascii="仿宋_GB2312" w:hAnsi="Times New Roman" w:eastAsia="仿宋_GB2312" w:cs="Times New Roman"/>
          <w:color w:val="auto"/>
          <w:sz w:val="32"/>
          <w:szCs w:val="32"/>
          <w:highlight w:val="none"/>
          <w:lang w:val="zh-CN"/>
        </w:rPr>
        <w:t>第</w:t>
      </w:r>
      <w:r>
        <w:rPr>
          <w:rFonts w:hint="eastAsia" w:ascii="仿宋_GB2312" w:cs="Times New Roman"/>
          <w:color w:val="auto"/>
          <w:sz w:val="32"/>
          <w:szCs w:val="32"/>
          <w:highlight w:val="none"/>
          <w:lang w:val="en-US" w:eastAsia="zh-CN"/>
        </w:rPr>
        <w:t>38</w:t>
      </w:r>
      <w:r>
        <w:rPr>
          <w:rFonts w:hint="eastAsia" w:ascii="仿宋_GB2312" w:hAnsi="Times New Roman" w:eastAsia="仿宋_GB2312" w:cs="Times New Roman"/>
          <w:color w:val="auto"/>
          <w:sz w:val="32"/>
          <w:szCs w:val="32"/>
          <w:highlight w:val="none"/>
          <w:lang w:val="zh-CN"/>
        </w:rPr>
        <w:t>项，项目名称：</w:t>
      </w:r>
      <w:r>
        <w:rPr>
          <w:rFonts w:hint="eastAsia"/>
          <w:color w:val="auto"/>
          <w:highlight w:val="none"/>
        </w:rPr>
        <w:t>占用、拆除、改动、迁移城市照明设施批准</w:t>
      </w:r>
    </w:p>
    <w:p w14:paraId="2828C5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val="en-US" w:eastAsia="zh-CN"/>
        </w:rPr>
        <w:t>监管任务</w:t>
      </w:r>
    </w:p>
    <w:p w14:paraId="3EB916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（一）</w:t>
      </w:r>
      <w:r>
        <w:rPr>
          <w:rFonts w:hint="eastAsia" w:ascii="仿宋_GB2312" w:hAnsi="Times New Roman" w:eastAsia="仿宋_GB2312" w:cs="Times New Roman"/>
          <w:color w:val="auto"/>
          <w:sz w:val="32"/>
          <w:szCs w:val="32"/>
          <w:highlight w:val="none"/>
          <w:lang w:val="zh-CN"/>
        </w:rPr>
        <w:t>坚持“法无授权不可为、法定职权必须为”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14:paraId="79E282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（二）</w:t>
      </w:r>
      <w:r>
        <w:rPr>
          <w:rFonts w:hint="eastAsia" w:ascii="仿宋_GB2312" w:hAnsi="Times New Roman" w:eastAsia="仿宋_GB2312" w:cs="Times New Roman"/>
          <w:color w:val="auto"/>
          <w:sz w:val="32"/>
          <w:szCs w:val="32"/>
          <w:highlight w:val="none"/>
          <w:lang w:val="zh-CN"/>
        </w:rPr>
        <w:t>坚持“全程监管、全程服务”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0C3631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二、保障措施</w:t>
      </w:r>
    </w:p>
    <w:p w14:paraId="66C772E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(一)实施“审批查”改革。</w:t>
      </w:r>
      <w:r>
        <w:rPr>
          <w:rFonts w:hint="eastAsia" w:ascii="仿宋_GB2312" w:hAnsi="Times New Roman" w:eastAsia="仿宋_GB2312" w:cs="Times New Roman"/>
          <w:color w:val="auto"/>
          <w:sz w:val="32"/>
          <w:szCs w:val="32"/>
          <w:highlight w:val="none"/>
          <w:lang w:val="zh-CN"/>
        </w:rPr>
        <w:t>乡（镇）人民政府要高度重视</w:t>
      </w:r>
      <w:r>
        <w:rPr>
          <w:rFonts w:hint="eastAsia"/>
          <w:color w:val="auto"/>
          <w:highlight w:val="none"/>
        </w:rPr>
        <w:t>占用、拆除、改动、迁移城市照明设施批准</w:t>
      </w:r>
      <w:r>
        <w:rPr>
          <w:rFonts w:hint="eastAsia" w:ascii="仿宋_GB2312" w:hAnsi="Times New Roman" w:eastAsia="仿宋_GB2312" w:cs="Times New Roman"/>
          <w:color w:val="auto"/>
          <w:sz w:val="32"/>
          <w:szCs w:val="32"/>
          <w:highlight w:val="none"/>
          <w:lang w:val="zh-CN"/>
        </w:rPr>
        <w:t>事中事后监管工作，按照“审、批、查’相互分离、相互衔接和简政放权、放管结合、转变职能的要求，强化组织领导，完善监管办法，落实保障措施，严肃查处问题，确保事中事后监管工作有序进行。</w:t>
      </w:r>
    </w:p>
    <w:p w14:paraId="7E20AE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(二)理清权责边界。</w:t>
      </w:r>
      <w:r>
        <w:rPr>
          <w:rFonts w:hint="eastAsia" w:ascii="仿宋_GB2312" w:hAnsi="Times New Roman" w:eastAsia="仿宋_GB2312" w:cs="Times New Roman"/>
          <w:color w:val="auto"/>
          <w:sz w:val="32"/>
          <w:szCs w:val="32"/>
          <w:highlight w:val="none"/>
          <w:lang w:val="zh-CN"/>
        </w:rPr>
        <w:t>针对权力交叉、监管空白等问题，科学划分村(居)、镇直机构的职能，明确权力范围和责任范围，建立上下联动监管机制。</w:t>
      </w:r>
    </w:p>
    <w:p w14:paraId="020347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Times New Roman" w:eastAsia="仿宋_GB2312" w:cs="Times New Roman"/>
          <w:color w:val="auto"/>
          <w:sz w:val="32"/>
          <w:szCs w:val="32"/>
          <w:highlight w:val="none"/>
          <w:lang w:val="zh-CN"/>
        </w:rPr>
      </w:pPr>
      <w:r>
        <w:rPr>
          <w:rFonts w:hint="eastAsia" w:ascii="仿宋_GB2312" w:hAnsi="Times New Roman" w:eastAsia="仿宋_GB2312" w:cs="Times New Roman"/>
          <w:b/>
          <w:bCs/>
          <w:color w:val="auto"/>
          <w:sz w:val="32"/>
          <w:szCs w:val="32"/>
          <w:highlight w:val="none"/>
          <w:lang w:val="zh-CN"/>
        </w:rPr>
        <w:t>(三)加强人员培训。</w:t>
      </w:r>
      <w:r>
        <w:rPr>
          <w:rFonts w:hint="eastAsia" w:ascii="仿宋_GB2312" w:hAnsi="Times New Roman" w:eastAsia="仿宋_GB2312" w:cs="Times New Roman"/>
          <w:color w:val="auto"/>
          <w:sz w:val="32"/>
          <w:szCs w:val="32"/>
          <w:highlight w:val="none"/>
          <w:lang w:val="zh-CN"/>
        </w:rPr>
        <w:t>乡（镇）人民政府应当加强对行政执法人员法律、法规、标准和专业知识与执法能力培训，并适时组织考核。</w:t>
      </w:r>
    </w:p>
    <w:p w14:paraId="4F2EB06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三、法定依据</w:t>
      </w:r>
    </w:p>
    <w:p w14:paraId="5B93FFD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1.《城市道路照明设施管理规定》第十七条</w:t>
      </w:r>
    </w:p>
    <w:p w14:paraId="4094BB5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2.《安徽省市政设施管理条例》第三十五条。</w:t>
      </w:r>
    </w:p>
    <w:p w14:paraId="3A87A94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33F1309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2C546D5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0CD7CB7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5C2A539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0D58777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4109D10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50AF480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115E1F1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31F5133C">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三十九、业主委员会、临时管理规约备案事中事后监管细则</w:t>
      </w:r>
    </w:p>
    <w:p w14:paraId="072C042F">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000792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一、监管任务</w:t>
      </w:r>
    </w:p>
    <w:p w14:paraId="157D2C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auto"/>
          <w:spacing w:val="0"/>
          <w:sz w:val="24"/>
          <w:szCs w:val="24"/>
          <w:highlight w:val="none"/>
        </w:rPr>
      </w:pPr>
      <w:r>
        <w:rPr>
          <w:rFonts w:ascii="仿宋_GB2312" w:hAnsi="微软雅黑" w:eastAsia="仿宋_GB2312" w:cs="仿宋_GB2312"/>
          <w:i w:val="0"/>
          <w:iCs w:val="0"/>
          <w:caps w:val="0"/>
          <w:color w:val="auto"/>
          <w:spacing w:val="0"/>
          <w:kern w:val="0"/>
          <w:sz w:val="32"/>
          <w:szCs w:val="32"/>
          <w:highlight w:val="none"/>
          <w:shd w:val="clear" w:fill="FFFFFF"/>
          <w:lang w:val="en-US" w:eastAsia="zh-CN" w:bidi="ar"/>
        </w:rPr>
        <w:t>根据《物业管理条例》、《安徽省物业管理条例》、《黄山市物业管理办法》等相关法律法规，</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乡镇人民政府负责业主委员会备案监管工作，强化政府服务职能。</w:t>
      </w:r>
    </w:p>
    <w:p w14:paraId="403BBC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二、监管措施</w:t>
      </w:r>
    </w:p>
    <w:p w14:paraId="781638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（一）流程监管</w:t>
      </w:r>
    </w:p>
    <w:p w14:paraId="3F2A9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1.加强权力运行流程监管。落实受理、审查和决定、送达、事后监管等阶段应履行的权责事项，规范权力运行流程，强化全程标准化监管。</w:t>
      </w:r>
    </w:p>
    <w:p w14:paraId="08CC2E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2.规范受理工作。符合受理条件的，依法受理；不符合受理条件的，告知理由；需要补正材料的，一次性告知。业主委员会应当自选举产生之日起10日内，持下列有关资料向所在地的</w:t>
      </w:r>
      <w:r>
        <w:rPr>
          <w:rFonts w:hint="eastAsia" w:ascii="仿宋_GB2312" w:hAnsi="微软雅黑" w:cs="仿宋_GB2312"/>
          <w:i w:val="0"/>
          <w:iCs w:val="0"/>
          <w:caps w:val="0"/>
          <w:color w:val="auto"/>
          <w:spacing w:val="0"/>
          <w:kern w:val="0"/>
          <w:sz w:val="32"/>
          <w:szCs w:val="32"/>
          <w:highlight w:val="none"/>
          <w:shd w:val="clear" w:fill="FFFFFF"/>
          <w:lang w:val="en-US" w:eastAsia="zh-CN" w:bidi="ar"/>
        </w:rPr>
        <w:t>区</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房产行政主管部门和街道办事处或乡人民政府办理备案手续：</w:t>
      </w:r>
    </w:p>
    <w:p w14:paraId="44E38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（一）业主大会、业主委员会选举情况报告；</w:t>
      </w:r>
    </w:p>
    <w:p w14:paraId="5C3A3B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（二）业主大会议事规则；</w:t>
      </w:r>
    </w:p>
    <w:p w14:paraId="75AB22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（三）业主公约；</w:t>
      </w:r>
    </w:p>
    <w:p w14:paraId="7EFDCF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（四）业主大会的决定；</w:t>
      </w:r>
    </w:p>
    <w:p w14:paraId="381726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（五）业主委员会组成人员的基本情况。</w:t>
      </w:r>
    </w:p>
    <w:p w14:paraId="09FE8F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3.强化廉政风险防控。主要对现场检查、材料审查、项目许可等廉政风险点进行管理，强化权力运行制约监督。</w:t>
      </w:r>
    </w:p>
    <w:p w14:paraId="4E0D9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4.作出审核或备案决定。申请材料齐全、符合法定形式的，1个工作日内作出同意备案决定。</w:t>
      </w:r>
    </w:p>
    <w:p w14:paraId="5997F9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5.及时做好送达工作。按规定制作并送达批文，并做到信息公开（不予批准的应当告知理由及救济途径）。</w:t>
      </w:r>
    </w:p>
    <w:p w14:paraId="2F2944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（二）公开公告</w:t>
      </w:r>
    </w:p>
    <w:p w14:paraId="702712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1.推行信息公开公示制度。落实信息公示责任，做到办理环节公开透明，办事流程公开，办理结果向社会公开，接受监督。</w:t>
      </w:r>
    </w:p>
    <w:p w14:paraId="0A47D7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2.公开主要监管依据。根据监管需要，梳理有关法律法规规章和规范性文件，列明主要监管依据，并予以公开。</w:t>
      </w:r>
    </w:p>
    <w:p w14:paraId="08D038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（三）协同监管</w:t>
      </w:r>
    </w:p>
    <w:p w14:paraId="6A2B7B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健全协调监管机制。屯光镇政府应与</w:t>
      </w:r>
      <w:r>
        <w:rPr>
          <w:rFonts w:hint="eastAsia" w:ascii="仿宋_GB2312" w:hAnsi="微软雅黑" w:cs="仿宋_GB2312"/>
          <w:i w:val="0"/>
          <w:iCs w:val="0"/>
          <w:caps w:val="0"/>
          <w:color w:val="auto"/>
          <w:spacing w:val="0"/>
          <w:kern w:val="0"/>
          <w:sz w:val="32"/>
          <w:szCs w:val="32"/>
          <w:highlight w:val="none"/>
          <w:shd w:val="clear" w:fill="FFFFFF"/>
          <w:lang w:val="en-US" w:eastAsia="zh-CN" w:bidi="ar"/>
        </w:rPr>
        <w:t>有关部门</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密切配合，健全协调监管机制，共同推进小区业委会备案监管工作。</w:t>
      </w:r>
    </w:p>
    <w:p w14:paraId="500C6A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业主委员会办理备案手续后，可持街道办事处或乡人民政府出具的备案证明向公安机关申请刻制业主大会印章和业主委员会印章。</w:t>
      </w:r>
    </w:p>
    <w:p w14:paraId="62510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业主大会印章可由属地街道办事处代为保管；业主委员会印章由业主委员会保管。</w:t>
      </w:r>
    </w:p>
    <w:p w14:paraId="06561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业主委员会任期内发生变更的，应当自变更之日起20日内将变更内容报告备案部门。</w:t>
      </w:r>
    </w:p>
    <w:p w14:paraId="4ACC1C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（四）政务服务</w:t>
      </w:r>
    </w:p>
    <w:p w14:paraId="1453DC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1.清理法规规章政策。及时清理、修订、完善地方性法规、政府规章以及有关规范性文件，加快制定完善配套监管服务措施。</w:t>
      </w:r>
    </w:p>
    <w:p w14:paraId="3D84BB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2.健全工作台账。乡镇政府对居（村）委会办理卷宗进行评查，督促依法行使权力。健全与业主委员会相关的档案资料，定期开展档案审查，形成长效审查机制。</w:t>
      </w:r>
    </w:p>
    <w:p w14:paraId="570C7B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三、责任追究</w:t>
      </w:r>
    </w:p>
    <w:p w14:paraId="77C188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（一）加强层级监督。</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乡镇政府加强对小区业主委员会的指导和监督，对是否履行监管责任进行监督问责。</w:t>
      </w:r>
    </w:p>
    <w:p w14:paraId="72577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（二）加强人员监督。</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重点监督有关监管人员是否履行职责，对不作为、乱作为情况，按规定进行监督问责。对符合条件的申请不予受理、不予备案或者不在法定期限内作出备案决定的；对不符合条件的申请准予受理、准予备案的；超越权限或违反程序作出备案决定的；备案过程中玩忽职守、滥用职权的；备案工程中索贿受贿、收受他人财务或谋取其他利益的行为，依法追究责任，</w:t>
      </w:r>
    </w:p>
    <w:p w14:paraId="6BFA10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（三）健全责任追究机制。</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依据有关法律法规和《乡镇人民政府行政权力清单和责任清单》，实行过错责任追究，根据过错责任的大小实施相应的追究方式。</w:t>
      </w:r>
    </w:p>
    <w:p w14:paraId="471AD4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（四）强化对行政权力行使人的监管。</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制定和执行规范的权力运行流程和标准，严格依照规定运行权力。</w:t>
      </w:r>
    </w:p>
    <w:p w14:paraId="788B0C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（五）加强对公职人员的问责。</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国家工作人员不履行法定职责、超越或者滥用法定职权的，依法给予行政处分，构成犯罪的，依法追究刑事责任。</w:t>
      </w:r>
    </w:p>
    <w:p w14:paraId="41709A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四、保障措施</w:t>
      </w:r>
    </w:p>
    <w:p w14:paraId="5ADD95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（一）加强领导，成立小区业委会指导工作小组。</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由分管领导负责，明确专门的工作机构和责任人，建立健全各项规章制度，加强基础工作，认真落实对小区业主委员会的指导工作，加强对小区业委会的监管工作。</w:t>
      </w:r>
    </w:p>
    <w:p w14:paraId="2CEB95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（二）加强人员培训。</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加强对乡镇工作人员的业务培训，不具备相应知识和能力的，不得从事对小区业委会备案的指导监督工作。</w:t>
      </w:r>
    </w:p>
    <w:p w14:paraId="19F99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（三）加强政策宣传。</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运用多种方式宣传小区业主委员会成立的政策及法律义务，广大小区业主对业主委员会的监督参与热情。</w:t>
      </w:r>
    </w:p>
    <w:p w14:paraId="05F65D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（四）加强组织协调。</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健全协调机制，加大与派出所、司法、房管等部分的协调沟通，落实对小区业委会的监管措施，确保事中事后监管工作有序推进。</w:t>
      </w:r>
    </w:p>
    <w:p w14:paraId="0E0D90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五、主要依据</w:t>
      </w:r>
    </w:p>
    <w:p w14:paraId="129BE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（一）《物业管理条例》（中华人民共和国国务院令第379号）</w:t>
      </w:r>
    </w:p>
    <w:p w14:paraId="41C9D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（二）《安徽省物业管理条例》</w:t>
      </w:r>
    </w:p>
    <w:p w14:paraId="7B442BBC">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黑体" w:hAnsi="黑体" w:eastAsia="黑体" w:cs="黑体"/>
          <w:color w:val="auto"/>
          <w:sz w:val="32"/>
          <w:szCs w:val="32"/>
          <w:highlight w:val="none"/>
          <w:lang w:val="en-US" w:eastAsia="zh-CN"/>
        </w:rPr>
      </w:pPr>
    </w:p>
    <w:p w14:paraId="540C8BA9">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四十、对陆生野生动物造成人身伤害和财产损失补偿申请的初审转报事中事后监管细则</w:t>
      </w:r>
    </w:p>
    <w:p w14:paraId="113E1D83">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2A581B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一、监管任务</w:t>
      </w:r>
    </w:p>
    <w:p w14:paraId="41D3F8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乡镇依照法律法规的规定开展对陆生野生动物造成人身伤害和财产损失补偿申请的初审转报事中事后监督管理，规范对陆生野生动物造成人身伤害和财产损失补偿申请的初审转报行为，保护社会群众的合法权益，纠正和查处违法行为。</w:t>
      </w:r>
    </w:p>
    <w:p w14:paraId="2F37D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二、事中监管</w:t>
      </w:r>
    </w:p>
    <w:p w14:paraId="23DAF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严格执行乡镇统一受理、办理结果公开等制度和规定。</w:t>
      </w:r>
    </w:p>
    <w:p w14:paraId="6BEB87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1、受理监管。</w:t>
      </w:r>
      <w:r>
        <w:rPr>
          <w:rFonts w:hint="eastAsia" w:ascii="仿宋_GB2312" w:hAnsi="仿宋_GB2312" w:eastAsia="仿宋_GB2312" w:cs="仿宋_GB2312"/>
          <w:i w:val="0"/>
          <w:iCs w:val="0"/>
          <w:caps w:val="0"/>
          <w:color w:val="auto"/>
          <w:spacing w:val="0"/>
          <w:sz w:val="32"/>
          <w:szCs w:val="32"/>
          <w:highlight w:val="none"/>
          <w:shd w:val="clear" w:fill="FFFFFF"/>
        </w:rPr>
        <w:t>乡镇是否公示对陆生野生动物造成人身伤害和财产损失补偿申请的初审转报依法应当提交的材料清单，是否一次性告知需补正材料，是否依法受理或不予受理(不予受理应当告知理由)。</w:t>
      </w:r>
    </w:p>
    <w:p w14:paraId="01A44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2、审查监管。</w:t>
      </w:r>
      <w:r>
        <w:rPr>
          <w:rFonts w:hint="eastAsia" w:ascii="仿宋_GB2312" w:hAnsi="仿宋_GB2312" w:eastAsia="仿宋_GB2312" w:cs="仿宋_GB2312"/>
          <w:i w:val="0"/>
          <w:iCs w:val="0"/>
          <w:caps w:val="0"/>
          <w:color w:val="auto"/>
          <w:spacing w:val="0"/>
          <w:sz w:val="32"/>
          <w:szCs w:val="32"/>
          <w:highlight w:val="none"/>
          <w:shd w:val="clear" w:fill="FFFFFF"/>
        </w:rPr>
        <w:t>乡镇是否按规定时限对对陆生野生动物造成人身伤害和财产损失补偿申请的初审转报申请材料依法进行审查、提出审查意见。</w:t>
      </w:r>
    </w:p>
    <w:p w14:paraId="54B52B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3、决定监管。</w:t>
      </w:r>
      <w:r>
        <w:rPr>
          <w:rFonts w:hint="eastAsia" w:ascii="仿宋_GB2312" w:hAnsi="仿宋_GB2312" w:eastAsia="仿宋_GB2312" w:cs="仿宋_GB2312"/>
          <w:i w:val="0"/>
          <w:iCs w:val="0"/>
          <w:caps w:val="0"/>
          <w:color w:val="auto"/>
          <w:spacing w:val="0"/>
          <w:sz w:val="32"/>
          <w:szCs w:val="32"/>
          <w:highlight w:val="none"/>
          <w:shd w:val="clear" w:fill="FFFFFF"/>
        </w:rPr>
        <w:t>是否按规定执行对陆生野生动物造成人身伤害和财产损失补偿申请的初审转报程序，依法作出审核或者不予审核决定，进行法定告知（不予审核的要说明理由并告知享有依法申请行政复议或者提起行政诉讼的权利）。</w:t>
      </w:r>
    </w:p>
    <w:p w14:paraId="40A4FC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三、事后监管</w:t>
      </w:r>
    </w:p>
    <w:p w14:paraId="0AA4C9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（一）跟踪检查</w:t>
      </w:r>
    </w:p>
    <w:p w14:paraId="5E2FD0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对陆生野生动物造成人身伤害和财产损失补偿申请的初审转报后，应不定时对临时救助人员进行回访，评估临时救助人员家庭经济状况。</w:t>
      </w:r>
    </w:p>
    <w:p w14:paraId="6C6A67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（二）协同监管</w:t>
      </w:r>
    </w:p>
    <w:p w14:paraId="075E25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1、信息共享。乡镇建立台账，审核事项完成后及时将审核情况报</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自然资源局、</w:t>
      </w:r>
      <w:r>
        <w:rPr>
          <w:rFonts w:hint="eastAsia" w:ascii="仿宋_GB2312" w:hAnsi="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财政局等部门备案。</w:t>
      </w:r>
    </w:p>
    <w:p w14:paraId="56709B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8"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2、联动监管。加强与公安等部门的沟通协作，依法查处违法案件，涉嫌犯罪的，按照有关规定及时将案件移送公安机关。</w:t>
      </w:r>
    </w:p>
    <w:p w14:paraId="10F8C0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（三）信用监管。</w:t>
      </w:r>
    </w:p>
    <w:p w14:paraId="55C789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1、信用记录。建立救助申请人信用档案，记录许可颁发、日常监督检查结果、违法行为查处等情况。</w:t>
      </w:r>
    </w:p>
    <w:p w14:paraId="019AB3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2、信用惩戒。对有不良信用记录的救助申请人增加监督检查频次，对违法行为情节严重的，及时通报相关协同监管机构。</w:t>
      </w:r>
    </w:p>
    <w:p w14:paraId="097CA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（四）社会监督。</w:t>
      </w:r>
    </w:p>
    <w:p w14:paraId="28193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乡镇公布本单位的电子邮件地址或者电话，接受对陆生野生动物造成人身伤害和财产损失补偿申请的初审转报事项咨询、投诉、举报。接到咨询、投诉、举报，对属于本单位职责的，应当受理并在法定期限内及时答复、核实、处理；对不属于本单位职责的，应当移交有权处理的部门并书面通知咨询、投诉、举报人。有权处理部门应当在法定期限内及时处理，不得推诿、扯皮。</w:t>
      </w:r>
    </w:p>
    <w:p w14:paraId="7B56A4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四、责任追究</w:t>
      </w:r>
    </w:p>
    <w:p w14:paraId="37E5AE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（一）乡镇应加强对其他权力行为的监督问责。</w:t>
      </w:r>
      <w:r>
        <w:rPr>
          <w:rFonts w:hint="eastAsia" w:ascii="仿宋_GB2312" w:hAnsi="仿宋_GB2312" w:eastAsia="仿宋_GB2312" w:cs="仿宋_GB2312"/>
          <w:i w:val="0"/>
          <w:iCs w:val="0"/>
          <w:caps w:val="0"/>
          <w:color w:val="auto"/>
          <w:spacing w:val="0"/>
          <w:sz w:val="32"/>
          <w:szCs w:val="32"/>
          <w:highlight w:val="none"/>
          <w:shd w:val="clear" w:fill="FFFFFF"/>
        </w:rPr>
        <w:t>对符合法定条件的审核申请不予受理的；对不符合法定条件的申请人准予审核或者超越法定职权作出准予审核决定的；对符合法定条件的申请人不予审核或者不在法定期限内作出准予审核决定的；不依法履行监督职责或者监督不力，损害行政相对人和利害关系人的合法权益的，对直接负责的主管人员和其他直接责任人员依法给予处分，构成犯罪的，依法追究刑事责任。</w:t>
      </w:r>
    </w:p>
    <w:p w14:paraId="35E943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（二）乡镇应加强对审核工作人员的监督问责。</w:t>
      </w:r>
      <w:r>
        <w:rPr>
          <w:rFonts w:hint="eastAsia" w:ascii="仿宋_GB2312" w:hAnsi="仿宋_GB2312" w:eastAsia="仿宋_GB2312" w:cs="仿宋_GB2312"/>
          <w:i w:val="0"/>
          <w:iCs w:val="0"/>
          <w:caps w:val="0"/>
          <w:color w:val="auto"/>
          <w:spacing w:val="0"/>
          <w:sz w:val="32"/>
          <w:szCs w:val="32"/>
          <w:highlight w:val="none"/>
          <w:shd w:val="clear" w:fill="FFFFFF"/>
        </w:rPr>
        <w:t>工作人员擅自增设、变更涉及审核程序或审核条件；收受贿赂、获取其他利益，或者为他人谋取不正当利益提供方便的收受贿赂、获取其他利益，构成犯罪的，依法追究刑事责任；尚不构成犯罪的，依法给予行政处分。</w:t>
      </w:r>
    </w:p>
    <w:p w14:paraId="5E9BC7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五、保障措施</w:t>
      </w:r>
    </w:p>
    <w:p w14:paraId="4154E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（一）强化组织领导。</w:t>
      </w:r>
      <w:r>
        <w:rPr>
          <w:rFonts w:hint="eastAsia" w:ascii="仿宋_GB2312" w:hAnsi="仿宋_GB2312" w:eastAsia="仿宋_GB2312" w:cs="仿宋_GB2312"/>
          <w:i w:val="0"/>
          <w:iCs w:val="0"/>
          <w:caps w:val="0"/>
          <w:color w:val="auto"/>
          <w:spacing w:val="0"/>
          <w:sz w:val="32"/>
          <w:szCs w:val="32"/>
          <w:highlight w:val="none"/>
          <w:shd w:val="clear" w:fill="FFFFFF"/>
        </w:rPr>
        <w:t>乡镇要高度重视对陆生野生动物造成人身伤害和财产损失补偿申请的初审转报工作，按照受理审核、批准决定与监督检查职能相互分离、相互监督、相互配合和简政放权、放管结合、转变职能的要求，强化组织领导，完善监管办法，落实保障措施，畅通举报渠道，严肃查处问题，确保事中事后监管工作有序推进。</w:t>
      </w:r>
    </w:p>
    <w:p w14:paraId="282A2C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（二）加强人员培训。</w:t>
      </w:r>
      <w:r>
        <w:rPr>
          <w:rFonts w:hint="eastAsia" w:ascii="仿宋_GB2312" w:hAnsi="仿宋_GB2312" w:eastAsia="仿宋_GB2312" w:cs="仿宋_GB2312"/>
          <w:i w:val="0"/>
          <w:iCs w:val="0"/>
          <w:caps w:val="0"/>
          <w:color w:val="auto"/>
          <w:spacing w:val="0"/>
          <w:sz w:val="32"/>
          <w:szCs w:val="32"/>
          <w:highlight w:val="none"/>
          <w:shd w:val="clear" w:fill="FFFFFF"/>
        </w:rPr>
        <w:t>乡镇应当加强对执法人员关于相关法律、法规、标准和专业知识与执法能力等的培训，并组织考核。不具备相应知识和能力的，不得从事监管工作。</w:t>
      </w:r>
    </w:p>
    <w:p w14:paraId="2AFDF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（三）加强普法宣传。</w:t>
      </w:r>
      <w:r>
        <w:rPr>
          <w:rFonts w:hint="eastAsia" w:ascii="仿宋_GB2312" w:hAnsi="仿宋_GB2312" w:eastAsia="仿宋_GB2312" w:cs="仿宋_GB2312"/>
          <w:i w:val="0"/>
          <w:iCs w:val="0"/>
          <w:caps w:val="0"/>
          <w:color w:val="auto"/>
          <w:spacing w:val="0"/>
          <w:sz w:val="32"/>
          <w:szCs w:val="32"/>
          <w:highlight w:val="none"/>
          <w:shd w:val="clear" w:fill="FFFFFF"/>
        </w:rPr>
        <w:t>运用多种方式宣传相关法律法规，提升管理相对人和公众的法律意见。</w:t>
      </w:r>
    </w:p>
    <w:p w14:paraId="12D6FA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六、主要依据</w:t>
      </w:r>
    </w:p>
    <w:p w14:paraId="53ED6F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《安徽省陆生野生动物造成人身伤害和财产损失补偿办法》</w:t>
      </w:r>
    </w:p>
    <w:p w14:paraId="7596F0FC">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7178516">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6DFF2AB6">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48E5F263">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8F0B5BC">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7F953C5">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6A762142">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764D80B7">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78479FFF">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7D1B9F76">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F7B4C2E">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4E0031B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5F6DFE7">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5502FBCB">
      <w:pPr>
        <w:keepNext w:val="0"/>
        <w:keepLines w:val="0"/>
        <w:pageBreakBefore w:val="0"/>
        <w:numPr>
          <w:ilvl w:val="0"/>
          <w:numId w:val="0"/>
        </w:numPr>
        <w:kinsoku/>
        <w:wordWrap/>
        <w:overflowPunct/>
        <w:topLinePunct w:val="0"/>
        <w:bidi w:val="0"/>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四十一、医疗救助对象审核确认事中事后监管细则</w:t>
      </w:r>
    </w:p>
    <w:p w14:paraId="09C35752">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2C3B4E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一、监管任务</w:t>
      </w:r>
    </w:p>
    <w:p w14:paraId="1C5D2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乡镇依照法律法规的规定开展医疗救助待遇审核转报事中事后监督管理，规范医疗救助待遇审核转报行为，保护医疗救助人员的合法权益，纠正和查处违法行为。</w:t>
      </w:r>
    </w:p>
    <w:p w14:paraId="26E115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二、事中监管</w:t>
      </w:r>
    </w:p>
    <w:p w14:paraId="3F005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严格执行乡镇统一受理、办理结果公开等制度和规定。</w:t>
      </w:r>
    </w:p>
    <w:p w14:paraId="13EE52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1、受理监管。</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乡镇是否公示医疗救助待遇审核转报依法应当提交的材料清单，是否一次性告知需补正材料，是否依法受理或不予受理(不予受理应当告知理由)。</w:t>
      </w:r>
    </w:p>
    <w:p w14:paraId="6911CE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2、审查监管。</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乡镇是否按规定时限对医疗救助待遇审核转报申请材料依法进行审查、提出审查意见。</w:t>
      </w:r>
    </w:p>
    <w:p w14:paraId="77D55C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3、决定监管。</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是否按规定执行医疗救助待遇审核转报程序，依法作出审核或者不予审核决定，进行法定告知（不予审核的要说明理由并告知享有依法申请行政复议或者提起行政诉讼的权利）。</w:t>
      </w:r>
    </w:p>
    <w:p w14:paraId="1D438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三、事后监管</w:t>
      </w:r>
    </w:p>
    <w:p w14:paraId="68D256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（一）跟踪检查</w:t>
      </w:r>
    </w:p>
    <w:p w14:paraId="6AD08C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医疗救助待遇审核转报后，应不定时对临时救助人员进行回访，评估临时救助人员家庭经济状况。</w:t>
      </w:r>
    </w:p>
    <w:p w14:paraId="7DB1D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（二）协同监管</w:t>
      </w:r>
    </w:p>
    <w:p w14:paraId="52BD1F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1、信息共享。乡镇建立台账，审核事项完成后及时将审核情况报</w:t>
      </w:r>
      <w:r>
        <w:rPr>
          <w:rFonts w:hint="eastAsia" w:ascii="仿宋_GB2312" w:hAnsi="微软雅黑" w:cs="仿宋_GB2312"/>
          <w:i w:val="0"/>
          <w:iCs w:val="0"/>
          <w:caps w:val="0"/>
          <w:color w:val="auto"/>
          <w:spacing w:val="0"/>
          <w:kern w:val="0"/>
          <w:sz w:val="32"/>
          <w:szCs w:val="32"/>
          <w:highlight w:val="none"/>
          <w:shd w:val="clear" w:fill="FFFFFF"/>
          <w:lang w:val="en-US" w:eastAsia="zh-CN" w:bidi="ar"/>
        </w:rPr>
        <w:t>区</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民政局、</w:t>
      </w:r>
      <w:r>
        <w:rPr>
          <w:rFonts w:hint="eastAsia" w:ascii="仿宋_GB2312" w:hAnsi="微软雅黑" w:cs="仿宋_GB2312"/>
          <w:i w:val="0"/>
          <w:iCs w:val="0"/>
          <w:caps w:val="0"/>
          <w:color w:val="auto"/>
          <w:spacing w:val="0"/>
          <w:kern w:val="0"/>
          <w:sz w:val="32"/>
          <w:szCs w:val="32"/>
          <w:highlight w:val="none"/>
          <w:shd w:val="clear" w:fill="FFFFFF"/>
          <w:lang w:val="en-US" w:eastAsia="zh-CN" w:bidi="ar"/>
        </w:rPr>
        <w:t>区</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医保局、</w:t>
      </w:r>
      <w:r>
        <w:rPr>
          <w:rFonts w:hint="eastAsia" w:ascii="仿宋_GB2312" w:hAnsi="微软雅黑" w:cs="仿宋_GB2312"/>
          <w:i w:val="0"/>
          <w:iCs w:val="0"/>
          <w:caps w:val="0"/>
          <w:color w:val="auto"/>
          <w:spacing w:val="0"/>
          <w:kern w:val="0"/>
          <w:sz w:val="32"/>
          <w:szCs w:val="32"/>
          <w:highlight w:val="none"/>
          <w:shd w:val="clear" w:fill="FFFFFF"/>
          <w:lang w:val="en-US" w:eastAsia="zh-CN" w:bidi="ar"/>
        </w:rPr>
        <w:t>区</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乡村振兴局、</w:t>
      </w:r>
      <w:r>
        <w:rPr>
          <w:rFonts w:hint="eastAsia" w:ascii="仿宋_GB2312" w:hAnsi="微软雅黑" w:cs="仿宋_GB2312"/>
          <w:i w:val="0"/>
          <w:iCs w:val="0"/>
          <w:caps w:val="0"/>
          <w:color w:val="auto"/>
          <w:spacing w:val="0"/>
          <w:kern w:val="0"/>
          <w:sz w:val="32"/>
          <w:szCs w:val="32"/>
          <w:highlight w:val="none"/>
          <w:shd w:val="clear" w:fill="FFFFFF"/>
          <w:lang w:val="en-US" w:eastAsia="zh-CN" w:bidi="ar"/>
        </w:rPr>
        <w:t>区</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财政局等部门备案。</w:t>
      </w:r>
    </w:p>
    <w:p w14:paraId="07B754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8"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2、联动监管。加强与公安等部门的沟通协作，依法查处违法案件，涉嫌犯罪的，按照有关规定及时将案件移送公安机关。</w:t>
      </w:r>
    </w:p>
    <w:p w14:paraId="12C7C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（三）信用监管。</w:t>
      </w:r>
    </w:p>
    <w:p w14:paraId="1885C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1、信用记录。建立申请人信用档案，记录许可颁发、日常监督检查结果、违法行为查处等情况。</w:t>
      </w:r>
    </w:p>
    <w:p w14:paraId="4DDD57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2、信用惩戒。对有不良信用记录的申请人增加监督检查频次，对违法行为情节严重的，及时通报相关协同监管机构。</w:t>
      </w:r>
    </w:p>
    <w:p w14:paraId="397E9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（四）社会监督。</w:t>
      </w:r>
    </w:p>
    <w:p w14:paraId="0AB06B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公布本单位的电子邮件地址或者电话，接受医疗救助待遇审核转报事项咨询、投诉、举报。接到咨询、投诉、举报，对属于本单位职责的，应当受理并在法定期限内及时答复、核实、处理；对不属于本单位职责的，应当移交有权处理的部门并书面通知咨询、投诉、举报人。有权处理部门应当在法定期限内及时处理，不得推诿、扯皮。</w:t>
      </w:r>
    </w:p>
    <w:p w14:paraId="3C82C2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四、责任追究</w:t>
      </w:r>
    </w:p>
    <w:p w14:paraId="72856D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（一）乡镇应加强对其他权力行为的监督问责。</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对符合法定条件的审核申请不予受理的；对不符合法定条件的申请人准予审核或者超越法定职权作出准予审核决定的；对符合法定条件的申请人不予审核或者不在法定期限内作出准予审核决定的；不依法履行监督职责或者监督不力，损害行政相对人和利害关系人的合法权益的，对直接负责的主管人员和其他直接责任人员依法给予处分，构成犯罪的，依法追究刑事责任。</w:t>
      </w:r>
    </w:p>
    <w:p w14:paraId="37D4D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（二）乡镇应加强对审核工作人员的监督问责。</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工作人员擅自增设、变更涉及审核程序或审核条件；收受贿赂、获取其他利益，或者为他人谋取不正当利益提供方便的收受贿赂、获取其他利益，构成犯罪的，依法追究刑事责任；尚不构成犯罪的，依法给予行政处分。</w:t>
      </w:r>
    </w:p>
    <w:p w14:paraId="690C75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五、保障措施</w:t>
      </w:r>
    </w:p>
    <w:p w14:paraId="49685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（一）强化组织领导。</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要高度重视医疗救助待遇审核转报工作，按照受理审核、批准决定与监督检查职能相互分离、相互监督、相互配合和简政放权、放管结合、转变职能的要求，强化组织领导，完善监管办法，落实保障措施，畅通举报渠道，严肃查处问题，确保事中事后监管工作有序推进。</w:t>
      </w:r>
    </w:p>
    <w:p w14:paraId="4BC2D6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（二）加强人员培训。</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乡镇应当加强对执法人员关于社会救助法律、法规、标准和专业知识与执法能力等的培训，并组织考核。不具备相应知识和能力的，不得从事监管工作。</w:t>
      </w:r>
    </w:p>
    <w:p w14:paraId="1979D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（三）加强普法宣传。</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运用多种方式宣传社会救助法律法规，提升管理相对人和公众的法律意见。</w:t>
      </w:r>
    </w:p>
    <w:p w14:paraId="2353AF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六、主要依据</w:t>
      </w:r>
    </w:p>
    <w:p w14:paraId="77BF4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《社会救助暂行办法》</w:t>
      </w:r>
    </w:p>
    <w:p w14:paraId="3E5C5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《安徽省低收入人口认定及救助暂行办法》</w:t>
      </w:r>
    </w:p>
    <w:p w14:paraId="0D5F61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安徽省医疗保障局安徽省民政厅安徽省财政厅安徽省卫生健康委国家税务总局安徽省税务局中国银保监会安徽监管局安徽省乡村振兴局关于印发安徽省巩固拓展医疗保障脱贫攻坚成果有效衔接乡村振兴战略实施方案的通知》</w:t>
      </w:r>
    </w:p>
    <w:p w14:paraId="35DD0A4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0877DEE">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47CC3B7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615EAB47">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57F5F9C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0B672AC">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33BF54B">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51C6F847">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0545F075">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20FC923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5EF899E0">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178873D2">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仿宋" w:hAnsi="仿宋" w:eastAsia="仿宋" w:cs="仿宋"/>
          <w:color w:val="auto"/>
          <w:sz w:val="32"/>
          <w:szCs w:val="32"/>
          <w:highlight w:val="none"/>
          <w:lang w:val="en-US" w:eastAsia="zh-CN"/>
        </w:rPr>
      </w:pPr>
    </w:p>
    <w:p w14:paraId="3114EC5A">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p>
    <w:p w14:paraId="38E2CE31">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29B4FEC9">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四十二、兵役登记事中事后监管细则</w:t>
      </w:r>
    </w:p>
    <w:p w14:paraId="3F626EFB">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3BC36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一、监管任务</w:t>
      </w:r>
    </w:p>
    <w:p w14:paraId="325B5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依据《中华人民共和国兵役法》《征兵工作条例》等相关法律，坚持公开透明、规范运行、创新管理的原则，加强对兵役登记工作事中事后的监督管理。</w:t>
      </w:r>
    </w:p>
    <w:p w14:paraId="2B2C4C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二、流程监管</w:t>
      </w:r>
    </w:p>
    <w:p w14:paraId="4C1640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1.监督检查的内容：</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是否遵守有关法律、法规和政策；是否按照核准登记的宗旨在应征范围内开展活动；是否继续具备相关应征事项所要求的条件；是否自核准登记后无正当理由拒绝服兵役；实际使用的资料和核准登记的资料是否一致。</w:t>
      </w:r>
    </w:p>
    <w:p w14:paraId="203569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2.监督检查方式：</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公示自愿服兵役的公民名单。</w:t>
      </w:r>
    </w:p>
    <w:p w14:paraId="461C4F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3.监督检查程序：</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电话通知通过应征服兵役公民进行核查信息；核查应征服兵役公民相关材料；对核查材料进行备案；公示核查无误公民名单；</w:t>
      </w:r>
    </w:p>
    <w:p w14:paraId="20B5D7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4.监督检查的处理：</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发现登记人存在《中华人民共和国兵役法》规定的欺骗、弄虚作假的行为，追究相关人员的责任；在登记事项审查和监督检查过程中，发现有违反兵役登记政策等情况的，依法追究相关人员责任。</w:t>
      </w:r>
    </w:p>
    <w:p w14:paraId="711873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三、责任追究</w:t>
      </w:r>
    </w:p>
    <w:p w14:paraId="5F7728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因不履行或不正确履行行政职责，有下列情形的，行政机关及相关工作人员应承担相应责任：</w:t>
      </w:r>
    </w:p>
    <w:p w14:paraId="1116AD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（一）对符合条件不予受理或不应该受理而受理造成不良后果的；</w:t>
      </w:r>
    </w:p>
    <w:p w14:paraId="3A5993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（二）没有严格按照工作规程组织鉴定，违反公开、透明、公正的原则，未能真实反映情况的；</w:t>
      </w:r>
    </w:p>
    <w:p w14:paraId="55F940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（三）收受贿赂或向当事人索取财物的；</w:t>
      </w:r>
    </w:p>
    <w:p w14:paraId="62900B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（四）办理人员弄虚作假、徇私舞弊、提供不实材料，导致不正确决定的；</w:t>
      </w:r>
    </w:p>
    <w:p w14:paraId="347D8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（五）其他违反法律法规规章文件规定的行为。</w:t>
      </w:r>
    </w:p>
    <w:p w14:paraId="7C302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四、保障措施</w:t>
      </w:r>
    </w:p>
    <w:p w14:paraId="193D9B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bCs/>
          <w:i w:val="0"/>
          <w:iCs w:val="0"/>
          <w:caps w:val="0"/>
          <w:color w:val="auto"/>
          <w:spacing w:val="0"/>
          <w:kern w:val="0"/>
          <w:sz w:val="32"/>
          <w:szCs w:val="32"/>
          <w:highlight w:val="none"/>
          <w:shd w:val="clear" w:fill="FFFFFF"/>
          <w:lang w:val="en-US" w:eastAsia="zh-CN" w:bidi="ar"/>
        </w:rPr>
        <w:t>（一）强化国防意识，</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充分认清搞好民兵登记工作的重要意义，立足实际，狠抓落实，推进民兵登记建设质量的整体跃升。</w:t>
      </w:r>
    </w:p>
    <w:p w14:paraId="49E88A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bCs/>
          <w:i w:val="0"/>
          <w:iCs w:val="0"/>
          <w:caps w:val="0"/>
          <w:color w:val="auto"/>
          <w:spacing w:val="0"/>
          <w:kern w:val="0"/>
          <w:sz w:val="32"/>
          <w:szCs w:val="32"/>
          <w:highlight w:val="none"/>
          <w:shd w:val="clear" w:fill="FFFFFF"/>
          <w:lang w:val="en-US" w:eastAsia="zh-CN" w:bidi="ar"/>
        </w:rPr>
        <w:t>（二）规范完善兵役登记资料。</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及时组织基层收集整理年度工作资料，修订完善武装部（民兵连）简介、荣誉栏和各类预案，更新民兵实力一览表、民兵兵员分布图等，做到资料整理规范、种类齐全、登记清楚。落实民兵资料管理制度，配备专门的箱、柜、桌、锁等设施，将历年兵役登记工作资料统一归档存放，指定专人管理，确保安全保密。</w:t>
      </w:r>
    </w:p>
    <w:p w14:paraId="059B1B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五、主要依据</w:t>
      </w:r>
    </w:p>
    <w:p w14:paraId="60332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《中华人民共和国兵役法》（</w:t>
      </w:r>
      <w:r>
        <w:rPr>
          <w:rFonts w:hint="default" w:ascii="Times New Roman" w:hAnsi="Times New Roman" w:eastAsia="微软雅黑" w:cs="Times New Roman"/>
          <w:b w:val="0"/>
          <w:bCs w:val="0"/>
          <w:i w:val="0"/>
          <w:iCs w:val="0"/>
          <w:caps w:val="0"/>
          <w:color w:val="auto"/>
          <w:spacing w:val="0"/>
          <w:kern w:val="0"/>
          <w:sz w:val="32"/>
          <w:szCs w:val="32"/>
          <w:highlight w:val="none"/>
          <w:shd w:val="clear" w:fill="FFFFFF"/>
          <w:lang w:val="en-US" w:eastAsia="zh-CN" w:bidi="ar"/>
        </w:rPr>
        <w:t>2021</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年</w:t>
      </w:r>
      <w:r>
        <w:rPr>
          <w:rFonts w:hint="default" w:ascii="Times New Roman" w:hAnsi="Times New Roman" w:eastAsia="微软雅黑" w:cs="Times New Roman"/>
          <w:b w:val="0"/>
          <w:bCs w:val="0"/>
          <w:i w:val="0"/>
          <w:iCs w:val="0"/>
          <w:caps w:val="0"/>
          <w:color w:val="auto"/>
          <w:spacing w:val="0"/>
          <w:kern w:val="0"/>
          <w:sz w:val="32"/>
          <w:szCs w:val="32"/>
          <w:highlight w:val="none"/>
          <w:shd w:val="clear" w:fill="FFFFFF"/>
          <w:lang w:val="en-US" w:eastAsia="zh-CN" w:bidi="ar"/>
        </w:rPr>
        <w:t>8</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月</w:t>
      </w:r>
      <w:r>
        <w:rPr>
          <w:rFonts w:hint="default" w:ascii="Times New Roman" w:hAnsi="Times New Roman" w:eastAsia="微软雅黑" w:cs="Times New Roman"/>
          <w:b w:val="0"/>
          <w:bCs w:val="0"/>
          <w:i w:val="0"/>
          <w:iCs w:val="0"/>
          <w:caps w:val="0"/>
          <w:color w:val="auto"/>
          <w:spacing w:val="0"/>
          <w:kern w:val="0"/>
          <w:sz w:val="32"/>
          <w:szCs w:val="32"/>
          <w:highlight w:val="none"/>
          <w:shd w:val="clear" w:fill="FFFFFF"/>
          <w:lang w:val="en-US" w:eastAsia="zh-CN" w:bidi="ar"/>
        </w:rPr>
        <w:t>20</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日，中华人民共和国第十三届全国人民代表大会常务委员会第三十次会议修订通过《中华人民共和国兵役法》，自</w:t>
      </w:r>
      <w:r>
        <w:rPr>
          <w:rFonts w:hint="default" w:ascii="Times New Roman" w:hAnsi="Times New Roman" w:eastAsia="微软雅黑" w:cs="Times New Roman"/>
          <w:b w:val="0"/>
          <w:bCs w:val="0"/>
          <w:i w:val="0"/>
          <w:iCs w:val="0"/>
          <w:caps w:val="0"/>
          <w:color w:val="auto"/>
          <w:spacing w:val="0"/>
          <w:kern w:val="0"/>
          <w:sz w:val="32"/>
          <w:szCs w:val="32"/>
          <w:highlight w:val="none"/>
          <w:shd w:val="clear" w:fill="FFFFFF"/>
          <w:lang w:val="en-US" w:eastAsia="zh-CN" w:bidi="ar"/>
        </w:rPr>
        <w:t>2021</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年</w:t>
      </w:r>
      <w:r>
        <w:rPr>
          <w:rFonts w:hint="default" w:ascii="Times New Roman" w:hAnsi="Times New Roman" w:eastAsia="微软雅黑" w:cs="Times New Roman"/>
          <w:b w:val="0"/>
          <w:bCs w:val="0"/>
          <w:i w:val="0"/>
          <w:iCs w:val="0"/>
          <w:caps w:val="0"/>
          <w:color w:val="auto"/>
          <w:spacing w:val="0"/>
          <w:kern w:val="0"/>
          <w:sz w:val="32"/>
          <w:szCs w:val="32"/>
          <w:highlight w:val="none"/>
          <w:shd w:val="clear" w:fill="FFFFFF"/>
          <w:lang w:val="en-US" w:eastAsia="zh-CN" w:bidi="ar"/>
        </w:rPr>
        <w:t>10</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月</w:t>
      </w:r>
      <w:r>
        <w:rPr>
          <w:rFonts w:hint="default" w:ascii="Times New Roman" w:hAnsi="Times New Roman" w:eastAsia="微软雅黑" w:cs="Times New Roman"/>
          <w:b w:val="0"/>
          <w:bCs w:val="0"/>
          <w:i w:val="0"/>
          <w:iCs w:val="0"/>
          <w:caps w:val="0"/>
          <w:color w:val="auto"/>
          <w:spacing w:val="0"/>
          <w:kern w:val="0"/>
          <w:sz w:val="32"/>
          <w:szCs w:val="32"/>
          <w:highlight w:val="none"/>
          <w:shd w:val="clear" w:fill="FFFFFF"/>
          <w:lang w:val="en-US" w:eastAsia="zh-CN" w:bidi="ar"/>
        </w:rPr>
        <w:t>1</w:t>
      </w: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日起施行。）</w:t>
      </w:r>
    </w:p>
    <w:p w14:paraId="71DBDE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560" w:lineRule="exact"/>
        <w:ind w:left="0" w:right="0" w:firstLine="632"/>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shd w:val="clear" w:fill="FFFFFF"/>
          <w:lang w:val="en-US" w:eastAsia="zh-CN" w:bidi="ar"/>
        </w:rPr>
        <w:t>《征兵工作条例》</w:t>
      </w:r>
    </w:p>
    <w:p w14:paraId="5462EBB2">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7DD4CB35">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0B87E37A">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0F19051C">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02149FDB">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1D0141E3">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273F47BB">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6C96CF44">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30DC280F">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0FEBAB5B">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4FFF8315">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0F55E02F">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5A3C6F0F">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5608D6D1">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21AB0E53">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2FF321FA">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545415D0">
      <w:pPr>
        <w:keepNext w:val="0"/>
        <w:keepLines w:val="0"/>
        <w:pageBreakBefore w:val="0"/>
        <w:numPr>
          <w:ilvl w:val="0"/>
          <w:numId w:val="0"/>
        </w:numPr>
        <w:kinsoku/>
        <w:wordWrap/>
        <w:overflowPunct/>
        <w:topLinePunct w:val="0"/>
        <w:bidi w:val="0"/>
        <w:snapToGrid/>
        <w:spacing w:line="560" w:lineRule="exact"/>
        <w:textAlignment w:val="auto"/>
        <w:rPr>
          <w:rFonts w:hint="default"/>
          <w:color w:val="auto"/>
          <w:highlight w:val="none"/>
          <w:lang w:val="en-US" w:eastAsia="zh-CN"/>
        </w:rPr>
      </w:pPr>
    </w:p>
    <w:p w14:paraId="1695DA53">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6B1BB228">
      <w:pPr>
        <w:keepNext w:val="0"/>
        <w:keepLines w:val="0"/>
        <w:pageBreakBefore w:val="0"/>
        <w:numPr>
          <w:ilvl w:val="0"/>
          <w:numId w:val="0"/>
        </w:numPr>
        <w:kinsoku/>
        <w:wordWrap/>
        <w:overflowPunct/>
        <w:topLinePunct w:val="0"/>
        <w:bidi w:val="0"/>
        <w:snapToGrid/>
        <w:spacing w:line="56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四十三、对非法种植毒品原植物的铲除事中事后监管细则</w:t>
      </w:r>
    </w:p>
    <w:p w14:paraId="28D24EB6">
      <w:pPr>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（其他权力）</w:t>
      </w:r>
    </w:p>
    <w:p w14:paraId="4E9D50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02"/>
        <w:jc w:val="both"/>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shd w:val="clear" w:fill="FFFFFF"/>
        </w:rPr>
        <w:t>一、事中监管</w:t>
      </w:r>
    </w:p>
    <w:p w14:paraId="15E736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auto"/>
          <w:spacing w:val="0"/>
          <w:sz w:val="21"/>
          <w:szCs w:val="21"/>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下达催告通知书，催告履行义务以及履行义务的期限、方式和催告对象依法享有的陈述权和申辩权。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有管辖权的人民政府有权组织强制实施。</w:t>
      </w:r>
    </w:p>
    <w:p w14:paraId="075E45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02"/>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二、事后监管</w:t>
      </w:r>
    </w:p>
    <w:p w14:paraId="784E3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乡镇应在门户网站公示对非法种植毒品原植物的铲除结果。落实跟踪检查、抽样检查、定期或不定期检查制度，严格监督非法种植毒品原植物情况。乡镇公布监督电话和电子邮件地址，接受行政确认事项咨询、投诉、举报。接到咨询、投诉、举报后，对属于职权范围内的，应当受理并在法定期限内及时答复、核实、处理；对不属于职权范围的，应当移交有权处理的部门并书面通知咨询、投诉、举报人。有权处理部门应当在法定期限内及时处理，不得推诿、扯皮。</w:t>
      </w:r>
    </w:p>
    <w:p w14:paraId="22A72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02"/>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三、责任追究</w:t>
      </w:r>
    </w:p>
    <w:p w14:paraId="2BF72C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在对非法种植毒品原植物的铲除工作中，因不履行或不正确履行行政职责，有下列情形的，行政机关及相关工作人员应承担相应责任：</w:t>
      </w:r>
    </w:p>
    <w:p w14:paraId="3F6D14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1.对不符合条件的实施行政强制的；</w:t>
      </w:r>
    </w:p>
    <w:p w14:paraId="302119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2.因违法实施行政强制，给行政相对人造成损失的；</w:t>
      </w:r>
    </w:p>
    <w:p w14:paraId="001F5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3.违法法定权限、程序实施行政强制的；</w:t>
      </w:r>
    </w:p>
    <w:p w14:paraId="0C981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4.在行使行政强制权过程中发生腐败行为的；</w:t>
      </w:r>
    </w:p>
    <w:p w14:paraId="4CB370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auto"/>
          <w:spacing w:val="0"/>
          <w:sz w:val="21"/>
          <w:szCs w:val="21"/>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5.其他违反法律法规规章文件规定的行为。</w:t>
      </w:r>
    </w:p>
    <w:p w14:paraId="7D5955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02"/>
        <w:jc w:val="both"/>
        <w:textAlignment w:val="auto"/>
        <w:rPr>
          <w:rFonts w:hint="default" w:ascii="楷体_GB2312" w:hAnsi="楷体_GB2312" w:eastAsia="楷体_GB2312" w:cs="楷体_GB2312"/>
          <w:b/>
          <w:bCs/>
          <w:i w:val="0"/>
          <w:iCs w:val="0"/>
          <w:caps w:val="0"/>
          <w:color w:val="auto"/>
          <w:spacing w:val="0"/>
          <w:sz w:val="32"/>
          <w:szCs w:val="32"/>
          <w:highlight w:val="none"/>
          <w:shd w:val="clear" w:fill="FFFFFF"/>
        </w:rPr>
      </w:pPr>
      <w:r>
        <w:rPr>
          <w:rFonts w:hint="eastAsia" w:ascii="楷体_GB2312" w:hAnsi="楷体_GB2312" w:eastAsia="楷体_GB2312" w:cs="楷体_GB2312"/>
          <w:b/>
          <w:bCs/>
          <w:i w:val="0"/>
          <w:iCs w:val="0"/>
          <w:caps w:val="0"/>
          <w:color w:val="auto"/>
          <w:spacing w:val="0"/>
          <w:sz w:val="32"/>
          <w:szCs w:val="32"/>
          <w:highlight w:val="none"/>
          <w:shd w:val="clear" w:fill="FFFFFF"/>
        </w:rPr>
        <w:t>四、主要依据</w:t>
      </w:r>
    </w:p>
    <w:p w14:paraId="366E9E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《中华人民共和国禁毒法》</w:t>
      </w:r>
    </w:p>
    <w:p w14:paraId="449A97C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17A5A80C">
      <w:pPr>
        <w:keepNext w:val="0"/>
        <w:keepLines w:val="0"/>
        <w:pageBreakBefore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E4A06-3487-44B9-805C-3438D96FF9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AA79322-16CC-4A21-B6BE-D13E25BCF9BC}"/>
  </w:font>
  <w:font w:name="仿宋_GB2312">
    <w:panose1 w:val="02010609030101010101"/>
    <w:charset w:val="86"/>
    <w:family w:val="modern"/>
    <w:pitch w:val="default"/>
    <w:sig w:usb0="00000001" w:usb1="080E0000" w:usb2="00000000" w:usb3="00000000" w:csb0="00040000" w:csb1="00000000"/>
    <w:embedRegular r:id="rId3" w:fontKey="{3B8A9200-890F-4B2F-AD48-BC0AF23570EF}"/>
  </w:font>
  <w:font w:name="monospace">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4" w:fontKey="{515190AB-1009-468E-8A0A-2DD63B8DD045}"/>
  </w:font>
  <w:font w:name="仿宋">
    <w:panose1 w:val="02010609060101010101"/>
    <w:charset w:val="86"/>
    <w:family w:val="modern"/>
    <w:pitch w:val="default"/>
    <w:sig w:usb0="800002BF" w:usb1="38CF7CFA" w:usb2="00000016" w:usb3="00000000" w:csb0="00040001" w:csb1="00000000"/>
    <w:embedRegular r:id="rId5" w:fontKey="{C2567009-0A14-4B37-9890-47F4178CEA57}"/>
  </w:font>
  <w:font w:name="楷体">
    <w:panose1 w:val="02010609060101010101"/>
    <w:charset w:val="86"/>
    <w:family w:val="modern"/>
    <w:pitch w:val="default"/>
    <w:sig w:usb0="800002BF" w:usb1="38CF7CFA" w:usb2="00000016" w:usb3="00000000" w:csb0="00040001" w:csb1="00000000"/>
    <w:embedRegular r:id="rId6" w:fontKey="{6F97FBB3-901B-4562-A462-FA5285329390}"/>
  </w:font>
  <w:font w:name="方正小标宋简体">
    <w:panose1 w:val="02000000000000000000"/>
    <w:charset w:val="86"/>
    <w:family w:val="auto"/>
    <w:pitch w:val="default"/>
    <w:sig w:usb0="00000001" w:usb1="080E0000" w:usb2="00000000" w:usb3="00000000" w:csb0="00040000" w:csb1="00000000"/>
    <w:embedRegular r:id="rId7" w:fontKey="{578AE11D-5AA0-44CF-A18C-C56CD1876237}"/>
  </w:font>
  <w:font w:name="微软雅黑">
    <w:panose1 w:val="020B0503020204020204"/>
    <w:charset w:val="86"/>
    <w:family w:val="auto"/>
    <w:pitch w:val="default"/>
    <w:sig w:usb0="80000287" w:usb1="280F3C52" w:usb2="00000016" w:usb3="00000000" w:csb0="0004001F" w:csb1="00000000"/>
    <w:embedRegular r:id="rId8" w:fontKey="{3F4D5EFB-A141-4B04-9574-F37B5290095F}"/>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756C0"/>
    <w:multiLevelType w:val="singleLevel"/>
    <w:tmpl w:val="EAF756C0"/>
    <w:lvl w:ilvl="0" w:tentative="0">
      <w:start w:val="2"/>
      <w:numFmt w:val="chineseCounting"/>
      <w:suff w:val="nothing"/>
      <w:lvlText w:val="（%1）"/>
      <w:lvlJc w:val="left"/>
      <w:rPr>
        <w:rFonts w:hint="eastAsia"/>
      </w:rPr>
    </w:lvl>
  </w:abstractNum>
  <w:abstractNum w:abstractNumId="1">
    <w:nsid w:val="00CF53E3"/>
    <w:multiLevelType w:val="singleLevel"/>
    <w:tmpl w:val="00CF53E3"/>
    <w:lvl w:ilvl="0" w:tentative="0">
      <w:start w:val="1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YzI3NTMxZjNkNGE4OGIzMWYwOWUzYzAwYjVhZTYifQ=="/>
  </w:docVars>
  <w:rsids>
    <w:rsidRoot w:val="6A440039"/>
    <w:rsid w:val="06677F89"/>
    <w:rsid w:val="17484943"/>
    <w:rsid w:val="1B5C771F"/>
    <w:rsid w:val="1C60727B"/>
    <w:rsid w:val="206909CD"/>
    <w:rsid w:val="2354552C"/>
    <w:rsid w:val="289F58D6"/>
    <w:rsid w:val="2900702C"/>
    <w:rsid w:val="2BBA6172"/>
    <w:rsid w:val="3211572B"/>
    <w:rsid w:val="3744432F"/>
    <w:rsid w:val="3CE37CC6"/>
    <w:rsid w:val="3E54470E"/>
    <w:rsid w:val="403413F0"/>
    <w:rsid w:val="41C4174E"/>
    <w:rsid w:val="44CB7B8D"/>
    <w:rsid w:val="4A454C70"/>
    <w:rsid w:val="4CFC5EC7"/>
    <w:rsid w:val="55E22FB1"/>
    <w:rsid w:val="58DE209A"/>
    <w:rsid w:val="5EA76407"/>
    <w:rsid w:val="65A544CC"/>
    <w:rsid w:val="69747345"/>
    <w:rsid w:val="69F76572"/>
    <w:rsid w:val="6A440039"/>
    <w:rsid w:val="76EC29BE"/>
    <w:rsid w:val="7723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TML Definition"/>
    <w:basedOn w:val="5"/>
    <w:qFormat/>
    <w:uiPriority w:val="0"/>
    <w:rPr>
      <w:i/>
      <w:iCs/>
    </w:rPr>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333333"/>
      <w:u w:val="none"/>
    </w:rPr>
  </w:style>
  <w:style w:type="character" w:styleId="13">
    <w:name w:val="HTML Code"/>
    <w:basedOn w:val="5"/>
    <w:qFormat/>
    <w:uiPriority w:val="0"/>
    <w:rPr>
      <w:rFonts w:ascii="monospace" w:hAnsi="monospace" w:eastAsia="monospace" w:cs="monospace"/>
      <w:sz w:val="21"/>
      <w:szCs w:val="21"/>
    </w:rPr>
  </w:style>
  <w:style w:type="character" w:styleId="14">
    <w:name w:val="HTML Cite"/>
    <w:basedOn w:val="5"/>
    <w:qFormat/>
    <w:uiPriority w:val="0"/>
  </w:style>
  <w:style w:type="character" w:styleId="15">
    <w:name w:val="HTML Keyboard"/>
    <w:basedOn w:val="5"/>
    <w:qFormat/>
    <w:uiPriority w:val="0"/>
    <w:rPr>
      <w:rFonts w:hint="default" w:ascii="monospace" w:hAnsi="monospace" w:eastAsia="monospace" w:cs="monospace"/>
      <w:sz w:val="21"/>
      <w:szCs w:val="21"/>
    </w:rPr>
  </w:style>
  <w:style w:type="character" w:styleId="16">
    <w:name w:val="HTML Sample"/>
    <w:basedOn w:val="5"/>
    <w:qFormat/>
    <w:uiPriority w:val="0"/>
    <w:rPr>
      <w:rFonts w:hint="default" w:ascii="monospace" w:hAnsi="monospace" w:eastAsia="monospace" w:cs="monospace"/>
      <w:sz w:val="21"/>
      <w:szCs w:val="21"/>
    </w:rPr>
  </w:style>
  <w:style w:type="character" w:customStyle="1" w:styleId="17">
    <w:name w:val="button"/>
    <w:basedOn w:val="5"/>
    <w:qFormat/>
    <w:uiPriority w:val="0"/>
  </w:style>
  <w:style w:type="character" w:customStyle="1" w:styleId="18">
    <w:name w:val="search-keywords"/>
    <w:basedOn w:val="5"/>
    <w:qFormat/>
    <w:uiPriority w:val="0"/>
    <w:rPr>
      <w:color w:val="FF0000"/>
    </w:rPr>
  </w:style>
  <w:style w:type="character" w:customStyle="1" w:styleId="19">
    <w:name w:val="img_title14"/>
    <w:basedOn w:val="5"/>
    <w:qFormat/>
    <w:uiPriority w:val="0"/>
    <w:rPr>
      <w:vanish/>
    </w:rPr>
  </w:style>
  <w:style w:type="character" w:customStyle="1" w:styleId="20">
    <w:name w:val="first-child"/>
    <w:basedOn w:val="5"/>
    <w:qFormat/>
    <w:uiPriority w:val="0"/>
  </w:style>
  <w:style w:type="character" w:customStyle="1" w:styleId="21">
    <w:name w:val="icons"/>
    <w:basedOn w:val="5"/>
    <w:qFormat/>
    <w:uiPriority w:val="0"/>
    <w:rPr>
      <w:b/>
      <w:bCs/>
      <w:color w:val="000000"/>
      <w:sz w:val="0"/>
      <w:szCs w:val="0"/>
    </w:rPr>
  </w:style>
  <w:style w:type="character" w:customStyle="1" w:styleId="22">
    <w:name w:val="icons1"/>
    <w:basedOn w:val="5"/>
    <w:qFormat/>
    <w:uiPriority w:val="0"/>
    <w:rPr>
      <w:b/>
      <w:bCs/>
      <w:color w:val="000000"/>
      <w:sz w:val="0"/>
      <w:szCs w:val="0"/>
    </w:rPr>
  </w:style>
  <w:style w:type="character" w:customStyle="1" w:styleId="23">
    <w:name w:val="hover22"/>
    <w:basedOn w:val="5"/>
    <w:qFormat/>
    <w:uiPriority w:val="0"/>
    <w:rPr>
      <w:color w:val="337AB7"/>
    </w:rPr>
  </w:style>
  <w:style w:type="character" w:customStyle="1" w:styleId="24">
    <w:name w:val="hover23"/>
    <w:basedOn w:val="5"/>
    <w:qFormat/>
    <w:uiPriority w:val="0"/>
    <w:rPr>
      <w:color w:val="1258AD"/>
      <w:u w:val="none"/>
      <w:bdr w:val="single" w:color="1258AD" w:sz="6" w:space="0"/>
    </w:rPr>
  </w:style>
  <w:style w:type="character" w:customStyle="1" w:styleId="25">
    <w:name w:val="layui-this"/>
    <w:basedOn w:val="5"/>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137</Pages>
  <Words>52190</Words>
  <Characters>52518</Characters>
  <Lines>0</Lines>
  <Paragraphs>0</Paragraphs>
  <TotalTime>64</TotalTime>
  <ScaleCrop>false</ScaleCrop>
  <LinksUpToDate>false</LinksUpToDate>
  <CharactersWithSpaces>52522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2023-07-05T03:46:00Z</dcterms:created>
  <dc:creator>Administrator</dc:creator>
  <cp:lastModifiedBy>Dr</cp:lastModifiedBy>
  <dcterms:modified xsi:type="dcterms:W3CDTF">2024-11-08T01:11:05Z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18A5866A0D724507A6CE2FB8E07F78CE_13</vt:lpwstr>
  </property>
</Properties>
</file>