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38A2D">
      <w:pPr>
        <w:jc w:val="both"/>
        <w:rPr>
          <w:rFonts w:hint="default" w:ascii="黑体" w:hAnsi="黑体" w:eastAsia="黑体" w:cs="黑体"/>
          <w:b w:val="0"/>
          <w:bCs/>
          <w:color w:val="auto"/>
          <w:sz w:val="32"/>
          <w:szCs w:val="32"/>
          <w:lang w:val="en-US" w:eastAsia="zh-CN"/>
        </w:rPr>
      </w:pPr>
    </w:p>
    <w:p w14:paraId="70C2B187">
      <w:pPr>
        <w:jc w:val="center"/>
        <w:rPr>
          <w:rFonts w:hint="eastAsia" w:ascii="宋体" w:hAnsi="宋体"/>
          <w:b/>
          <w:color w:val="auto"/>
          <w:sz w:val="36"/>
          <w:szCs w:val="36"/>
        </w:rPr>
      </w:pPr>
      <w:r>
        <w:rPr>
          <w:rFonts w:hint="eastAsia" w:ascii="宋体" w:hAnsi="宋体"/>
          <w:b/>
          <w:color w:val="auto"/>
          <w:sz w:val="36"/>
          <w:szCs w:val="36"/>
          <w:lang w:eastAsia="zh-CN"/>
        </w:rPr>
        <w:t>黄山市屯溪区</w:t>
      </w:r>
      <w:r>
        <w:rPr>
          <w:rFonts w:hint="eastAsia" w:ascii="宋体" w:hAnsi="宋体"/>
          <w:b/>
          <w:color w:val="auto"/>
          <w:sz w:val="36"/>
          <w:szCs w:val="36"/>
          <w:lang w:val="en-US" w:eastAsia="zh-CN"/>
        </w:rPr>
        <w:t>人民政府办公室</w:t>
      </w:r>
      <w:r>
        <w:rPr>
          <w:rFonts w:hint="eastAsia" w:ascii="宋体" w:hAnsi="宋体"/>
          <w:b/>
          <w:color w:val="auto"/>
          <w:sz w:val="36"/>
          <w:szCs w:val="36"/>
          <w:lang w:eastAsia="zh-CN"/>
        </w:rPr>
        <w:t>202</w:t>
      </w:r>
      <w:r>
        <w:rPr>
          <w:rFonts w:hint="eastAsia" w:ascii="宋体" w:hAnsi="宋体"/>
          <w:b/>
          <w:color w:val="auto"/>
          <w:sz w:val="36"/>
          <w:szCs w:val="36"/>
          <w:lang w:val="en-US" w:eastAsia="zh-CN"/>
        </w:rPr>
        <w:t>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bookmarkStart w:id="0" w:name="_GoBack"/>
      <w:bookmarkEnd w:id="0"/>
    </w:p>
    <w:p w14:paraId="6F575FFA">
      <w:pPr>
        <w:jc w:val="center"/>
        <w:rPr>
          <w:rFonts w:hint="eastAsia" w:ascii="楷体_GB2312" w:eastAsia="楷体_GB2312"/>
          <w:color w:val="auto"/>
          <w:szCs w:val="32"/>
        </w:rPr>
      </w:pPr>
    </w:p>
    <w:p w14:paraId="74D3475F">
      <w:pPr>
        <w:jc w:val="center"/>
        <w:rPr>
          <w:rFonts w:hint="eastAsia" w:ascii="楷体_GB2312" w:eastAsia="楷体_GB2312"/>
          <w:color w:val="auto"/>
          <w:szCs w:val="32"/>
        </w:rPr>
      </w:pPr>
    </w:p>
    <w:p w14:paraId="1C412ECD">
      <w:pPr>
        <w:adjustRightInd w:val="0"/>
        <w:snapToGrid w:val="0"/>
        <w:spacing w:line="360" w:lineRule="auto"/>
        <w:jc w:val="center"/>
        <w:rPr>
          <w:rFonts w:hint="eastAsia" w:ascii="宋体" w:hAnsi="宋体"/>
          <w:color w:val="auto"/>
          <w:sz w:val="6"/>
          <w:szCs w:val="32"/>
        </w:rPr>
      </w:pPr>
    </w:p>
    <w:p w14:paraId="766E0D88">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年度一般公共预算财政拨款“三公”经费支出决算表</w:t>
      </w:r>
    </w:p>
    <w:p w14:paraId="06280FD7">
      <w:pPr>
        <w:jc w:val="right"/>
        <w:rPr>
          <w:rFonts w:hint="eastAsia" w:ascii="黑体" w:hAnsi="黑体" w:eastAsia="黑体"/>
          <w:color w:val="auto"/>
          <w:szCs w:val="32"/>
        </w:rPr>
      </w:pPr>
      <w:r>
        <w:rPr>
          <w:rFonts w:hint="eastAsia" w:ascii="仿宋_GB2312" w:hAnsi="仿宋_GB2312" w:cs="仿宋_GB2312"/>
          <w:color w:val="auto"/>
          <w:szCs w:val="32"/>
        </w:rPr>
        <w:t>单位：万元</w:t>
      </w:r>
    </w:p>
    <w:tbl>
      <w:tblPr>
        <w:tblStyle w:val="3"/>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5CCCBD76">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1CA15AEC">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41C0BE15">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7CCFF111">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1BF1141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97FADF9">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69EEDF3B">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lang w:val="en-US" w:eastAsia="zh-CN"/>
              </w:rPr>
              <w:t>19.35</w:t>
            </w:r>
          </w:p>
        </w:tc>
        <w:tc>
          <w:tcPr>
            <w:tcW w:w="2220" w:type="dxa"/>
            <w:tcBorders>
              <w:top w:val="nil"/>
              <w:left w:val="nil"/>
              <w:bottom w:val="single" w:color="auto" w:sz="4" w:space="0"/>
              <w:right w:val="single" w:color="auto" w:sz="4" w:space="0"/>
            </w:tcBorders>
            <w:noWrap w:val="0"/>
            <w:vAlign w:val="center"/>
          </w:tcPr>
          <w:p w14:paraId="3905AF16">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lang w:val="en-US" w:eastAsia="zh-CN"/>
              </w:rPr>
              <w:t>14.43</w:t>
            </w:r>
          </w:p>
        </w:tc>
      </w:tr>
      <w:tr w14:paraId="4BF3ED6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23D1CB8">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402E9AAE">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5</w:t>
            </w:r>
          </w:p>
        </w:tc>
        <w:tc>
          <w:tcPr>
            <w:tcW w:w="2220" w:type="dxa"/>
            <w:tcBorders>
              <w:top w:val="nil"/>
              <w:left w:val="nil"/>
              <w:bottom w:val="single" w:color="auto" w:sz="4" w:space="0"/>
              <w:right w:val="single" w:color="auto" w:sz="4" w:space="0"/>
            </w:tcBorders>
            <w:noWrap w:val="0"/>
            <w:vAlign w:val="bottom"/>
          </w:tcPr>
          <w:p w14:paraId="2FA774A0">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3.48</w:t>
            </w:r>
          </w:p>
        </w:tc>
      </w:tr>
      <w:tr w14:paraId="1ED07F9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133188F">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35B36E5C">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8.35</w:t>
            </w:r>
          </w:p>
        </w:tc>
        <w:tc>
          <w:tcPr>
            <w:tcW w:w="2220" w:type="dxa"/>
            <w:tcBorders>
              <w:top w:val="nil"/>
              <w:left w:val="nil"/>
              <w:bottom w:val="single" w:color="auto" w:sz="4" w:space="0"/>
              <w:right w:val="single" w:color="auto" w:sz="4" w:space="0"/>
            </w:tcBorders>
            <w:noWrap w:val="0"/>
            <w:vAlign w:val="bottom"/>
          </w:tcPr>
          <w:p w14:paraId="26F0CFD7">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8.02</w:t>
            </w:r>
          </w:p>
        </w:tc>
      </w:tr>
      <w:tr w14:paraId="4C56CBA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C8A044A">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74CB778B">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6</w:t>
            </w:r>
          </w:p>
        </w:tc>
        <w:tc>
          <w:tcPr>
            <w:tcW w:w="2220" w:type="dxa"/>
            <w:tcBorders>
              <w:top w:val="nil"/>
              <w:left w:val="nil"/>
              <w:bottom w:val="single" w:color="auto" w:sz="4" w:space="0"/>
              <w:right w:val="single" w:color="auto" w:sz="4" w:space="0"/>
            </w:tcBorders>
            <w:noWrap w:val="0"/>
            <w:vAlign w:val="bottom"/>
          </w:tcPr>
          <w:p w14:paraId="3ACB916C">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2.93</w:t>
            </w:r>
          </w:p>
        </w:tc>
      </w:tr>
      <w:tr w14:paraId="643CBA4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6EED7CD">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177B7745">
            <w:pPr>
              <w:widowControl/>
              <w:jc w:val="center"/>
              <w:rPr>
                <w:rFonts w:ascii="宋体" w:hAnsi="宋体" w:cs="宋体"/>
                <w:color w:val="auto"/>
                <w:kern w:val="0"/>
                <w:szCs w:val="21"/>
              </w:rPr>
            </w:pPr>
          </w:p>
        </w:tc>
        <w:tc>
          <w:tcPr>
            <w:tcW w:w="2220" w:type="dxa"/>
            <w:tcBorders>
              <w:top w:val="nil"/>
              <w:left w:val="nil"/>
              <w:bottom w:val="single" w:color="auto" w:sz="4" w:space="0"/>
              <w:right w:val="single" w:color="auto" w:sz="4" w:space="0"/>
            </w:tcBorders>
            <w:noWrap w:val="0"/>
            <w:vAlign w:val="bottom"/>
          </w:tcPr>
          <w:p w14:paraId="4218D3C9">
            <w:pPr>
              <w:widowControl/>
              <w:jc w:val="center"/>
              <w:rPr>
                <w:rFonts w:ascii="宋体" w:hAnsi="宋体" w:cs="宋体"/>
                <w:color w:val="auto"/>
                <w:kern w:val="0"/>
                <w:szCs w:val="21"/>
              </w:rPr>
            </w:pPr>
          </w:p>
        </w:tc>
      </w:tr>
      <w:tr w14:paraId="70C8EAD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DC4A9CA">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18A437AC">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6</w:t>
            </w:r>
          </w:p>
        </w:tc>
        <w:tc>
          <w:tcPr>
            <w:tcW w:w="2220" w:type="dxa"/>
            <w:tcBorders>
              <w:top w:val="nil"/>
              <w:left w:val="nil"/>
              <w:bottom w:val="single" w:color="auto" w:sz="4" w:space="0"/>
              <w:right w:val="single" w:color="auto" w:sz="4" w:space="0"/>
            </w:tcBorders>
            <w:noWrap w:val="0"/>
            <w:vAlign w:val="bottom"/>
          </w:tcPr>
          <w:p w14:paraId="1A19D6E5">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2.93</w:t>
            </w:r>
          </w:p>
        </w:tc>
      </w:tr>
    </w:tbl>
    <w:p w14:paraId="35282E6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26B98E9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1FA8CAD9">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2C4549D2">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69D9DC26">
      <w:pPr>
        <w:ind w:firstLine="640" w:firstLineChars="200"/>
        <w:rPr>
          <w:rFonts w:hint="eastAsia" w:ascii="楷体_GB2312" w:hAnsi="仿宋" w:eastAsia="楷体_GB2312"/>
          <w:color w:val="auto"/>
          <w:szCs w:val="32"/>
        </w:rPr>
      </w:pPr>
      <w:r>
        <w:rPr>
          <w:rFonts w:hint="eastAsia" w:ascii="仿宋_GB2312" w:hAnsi="仿宋"/>
          <w:color w:val="auto"/>
          <w:szCs w:val="32"/>
          <w:lang w:eastAsia="zh-CN"/>
        </w:rPr>
        <w:t>黄山市屯溪区</w:t>
      </w:r>
      <w:r>
        <w:rPr>
          <w:rFonts w:hint="eastAsia" w:ascii="仿宋_GB2312" w:hAnsi="仿宋"/>
          <w:color w:val="auto"/>
          <w:szCs w:val="32"/>
          <w:lang w:val="en-US" w:eastAsia="zh-CN"/>
        </w:rPr>
        <w:t>人民政府办公室</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19.35</w:t>
      </w:r>
      <w:r>
        <w:rPr>
          <w:rFonts w:hint="eastAsia" w:ascii="仿宋_GB2312" w:hAnsi="仿宋"/>
          <w:color w:val="auto"/>
          <w:szCs w:val="32"/>
        </w:rPr>
        <w:t>万元，支出决算</w:t>
      </w:r>
      <w:r>
        <w:rPr>
          <w:rFonts w:hint="eastAsia" w:ascii="仿宋_GB2312" w:hAnsi="仿宋"/>
          <w:color w:val="auto"/>
          <w:szCs w:val="32"/>
          <w:lang w:eastAsia="zh-CN"/>
        </w:rPr>
        <w:t>为</w:t>
      </w:r>
      <w:r>
        <w:rPr>
          <w:rFonts w:hint="eastAsia" w:ascii="仿宋_GB2312" w:hAnsi="仿宋"/>
          <w:color w:val="auto"/>
          <w:szCs w:val="32"/>
          <w:lang w:val="en-US" w:eastAsia="zh-CN"/>
        </w:rPr>
        <w:t>14.43</w:t>
      </w:r>
      <w:r>
        <w:rPr>
          <w:rFonts w:hint="eastAsia" w:ascii="仿宋_GB2312" w:hAnsi="仿宋"/>
          <w:color w:val="auto"/>
          <w:szCs w:val="32"/>
        </w:rPr>
        <w:t>万元，完成预算的</w:t>
      </w:r>
      <w:r>
        <w:rPr>
          <w:rFonts w:hint="eastAsia" w:ascii="仿宋_GB2312" w:hAnsi="仿宋"/>
          <w:color w:val="auto"/>
          <w:szCs w:val="32"/>
          <w:lang w:val="en-US" w:eastAsia="zh-CN"/>
        </w:rPr>
        <w:t>74.57</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9.07</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169.22%。</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于预算数的主要原因是2023年疫情防控结束，因公出国（境）团组虽有所增加，但因前期疫情</w:t>
      </w:r>
      <w:r>
        <w:rPr>
          <w:rFonts w:hint="eastAsia" w:ascii="仿宋_GB2312" w:hAnsi="仿宋"/>
          <w:color w:val="auto"/>
          <w:szCs w:val="32"/>
          <w:u w:val="none"/>
          <w:lang w:val="en-US" w:eastAsia="zh-CN"/>
        </w:rPr>
        <w:t>无</w:t>
      </w:r>
      <w:r>
        <w:rPr>
          <w:rFonts w:hint="eastAsia" w:ascii="仿宋_GB2312" w:hAnsi="仿宋"/>
          <w:color w:val="auto"/>
          <w:szCs w:val="32"/>
          <w:u w:val="none"/>
        </w:rPr>
        <w:t>出访计划。决算数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2023年疫情防控结束，因公出国（境）及各类公务接待人次有所增加</w:t>
      </w:r>
      <w:r>
        <w:rPr>
          <w:rFonts w:hint="eastAsia" w:ascii="仿宋_GB2312" w:hAnsi="仿宋"/>
          <w:color w:val="auto"/>
          <w:szCs w:val="32"/>
          <w:u w:val="none"/>
        </w:rPr>
        <w:t>。</w:t>
      </w:r>
    </w:p>
    <w:p w14:paraId="7C40EAB2">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099ACB9C">
      <w:pPr>
        <w:ind w:firstLine="640" w:firstLineChars="200"/>
        <w:rPr>
          <w:rFonts w:hint="eastAsia" w:ascii="仿宋_GB2312" w:hAnsi="仿宋"/>
          <w:color w:val="auto"/>
          <w:szCs w:val="32"/>
        </w:rPr>
      </w:pPr>
      <w:r>
        <w:rPr>
          <w:rFonts w:hint="eastAsia" w:ascii="仿宋_GB2312" w:hAnsi="仿宋"/>
          <w:color w:val="auto"/>
          <w:szCs w:val="32"/>
          <w:lang w:eastAsia="zh-CN"/>
        </w:rPr>
        <w:t>黄山市屯溪区</w:t>
      </w:r>
      <w:r>
        <w:rPr>
          <w:rFonts w:hint="eastAsia" w:ascii="仿宋_GB2312" w:hAnsi="仿宋"/>
          <w:color w:val="auto"/>
          <w:szCs w:val="32"/>
          <w:lang w:val="en-US" w:eastAsia="zh-CN"/>
        </w:rPr>
        <w:t>人民政府办公室</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3.48</w:t>
      </w:r>
      <w:r>
        <w:rPr>
          <w:rFonts w:hint="eastAsia" w:ascii="仿宋_GB2312" w:hAnsi="仿宋"/>
          <w:color w:val="auto"/>
          <w:szCs w:val="32"/>
        </w:rPr>
        <w:t>万元，占</w:t>
      </w:r>
      <w:r>
        <w:rPr>
          <w:rFonts w:hint="eastAsia" w:ascii="仿宋_GB2312" w:hAnsi="仿宋"/>
          <w:color w:val="auto"/>
          <w:szCs w:val="32"/>
          <w:lang w:val="en-US" w:eastAsia="zh-CN"/>
        </w:rPr>
        <w:t>24.12</w:t>
      </w:r>
      <w:r>
        <w:rPr>
          <w:rFonts w:hint="eastAsia" w:ascii="仿宋_GB2312" w:hAnsi="仿宋"/>
          <w:color w:val="auto"/>
          <w:szCs w:val="32"/>
        </w:rPr>
        <w:t>%;公务接待费支出决算</w:t>
      </w:r>
      <w:r>
        <w:rPr>
          <w:rFonts w:hint="eastAsia" w:ascii="仿宋_GB2312" w:hAnsi="仿宋"/>
          <w:color w:val="auto"/>
          <w:szCs w:val="32"/>
          <w:lang w:val="en-US" w:eastAsia="zh-CN"/>
        </w:rPr>
        <w:t>8.02</w:t>
      </w:r>
      <w:r>
        <w:rPr>
          <w:rFonts w:hint="eastAsia" w:ascii="仿宋_GB2312" w:hAnsi="仿宋"/>
          <w:color w:val="auto"/>
          <w:szCs w:val="32"/>
        </w:rPr>
        <w:t>万元，占</w:t>
      </w:r>
      <w:r>
        <w:rPr>
          <w:rFonts w:hint="eastAsia" w:ascii="仿宋_GB2312" w:hAnsi="仿宋"/>
          <w:color w:val="auto"/>
          <w:szCs w:val="32"/>
          <w:lang w:val="en-US" w:eastAsia="zh-CN"/>
        </w:rPr>
        <w:t>55.58</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2.93</w:t>
      </w:r>
      <w:r>
        <w:rPr>
          <w:rFonts w:hint="eastAsia" w:ascii="仿宋_GB2312" w:hAnsi="仿宋"/>
          <w:color w:val="auto"/>
          <w:szCs w:val="32"/>
        </w:rPr>
        <w:t>万元，占</w:t>
      </w:r>
      <w:r>
        <w:rPr>
          <w:rFonts w:hint="eastAsia" w:ascii="仿宋_GB2312" w:hAnsi="仿宋"/>
          <w:color w:val="auto"/>
          <w:szCs w:val="32"/>
          <w:lang w:val="en-US" w:eastAsia="zh-CN"/>
        </w:rPr>
        <w:t>20.3</w:t>
      </w:r>
      <w:r>
        <w:rPr>
          <w:rFonts w:hint="eastAsia" w:ascii="仿宋_GB2312" w:hAnsi="仿宋"/>
          <w:color w:val="auto"/>
          <w:szCs w:val="32"/>
        </w:rPr>
        <w:t>%。具体情况如下：</w:t>
      </w:r>
    </w:p>
    <w:p w14:paraId="1FD0CF23">
      <w:pPr>
        <w:ind w:firstLine="628"/>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5</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3.48万元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69.6</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3.48</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于预算数的主要原因是2023年疫情防控结束，因公出国（境）团组虽有所增加，但因前期疫情</w:t>
      </w:r>
      <w:r>
        <w:rPr>
          <w:rFonts w:hint="eastAsia" w:ascii="仿宋_GB2312" w:hAnsi="仿宋"/>
          <w:color w:val="auto"/>
          <w:szCs w:val="32"/>
          <w:u w:val="none"/>
          <w:lang w:val="en-US" w:eastAsia="zh-CN"/>
        </w:rPr>
        <w:t>无</w:t>
      </w:r>
      <w:r>
        <w:rPr>
          <w:rFonts w:hint="eastAsia" w:ascii="仿宋_GB2312" w:hAnsi="仿宋"/>
          <w:color w:val="auto"/>
          <w:szCs w:val="32"/>
          <w:u w:val="none"/>
        </w:rPr>
        <w:t>出访计划。决算数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2022年度因疫情防控未有因公出国（境）经费支出，2023年疫情结束，部分单位根据工作要求及需要开展因公出国（境）。</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color w:val="auto"/>
          <w:szCs w:val="32"/>
          <w:lang w:eastAsia="zh-CN"/>
        </w:rPr>
        <w:t>黄山市屯溪区</w:t>
      </w:r>
      <w:r>
        <w:rPr>
          <w:rFonts w:hint="eastAsia" w:ascii="仿宋_GB2312" w:hAnsi="仿宋"/>
          <w:color w:val="auto"/>
          <w:szCs w:val="32"/>
          <w:lang w:val="en-US" w:eastAsia="zh-CN"/>
        </w:rPr>
        <w:t>人民政府办公室</w:t>
      </w:r>
      <w:r>
        <w:rPr>
          <w:rFonts w:hint="eastAsia" w:ascii="仿宋_GB2312" w:hAnsi="仿宋"/>
          <w:color w:val="auto"/>
          <w:szCs w:val="32"/>
        </w:rPr>
        <w:t>因公出国（境）团组</w:t>
      </w:r>
      <w:r>
        <w:rPr>
          <w:rFonts w:hint="eastAsia" w:ascii="仿宋_GB2312" w:hAnsi="仿宋"/>
          <w:color w:val="auto"/>
          <w:szCs w:val="32"/>
          <w:lang w:val="en-US" w:eastAsia="zh-CN"/>
        </w:rPr>
        <w:t>1</w:t>
      </w:r>
      <w:r>
        <w:rPr>
          <w:rFonts w:hint="eastAsia" w:ascii="仿宋_GB2312" w:hAnsi="仿宋"/>
          <w:color w:val="auto"/>
          <w:szCs w:val="32"/>
        </w:rPr>
        <w:t>次，累计出国（境）</w:t>
      </w:r>
      <w:r>
        <w:rPr>
          <w:rFonts w:hint="eastAsia" w:ascii="仿宋_GB2312" w:hAnsi="仿宋"/>
          <w:color w:val="auto"/>
          <w:szCs w:val="32"/>
          <w:lang w:val="en-US" w:eastAsia="zh-CN"/>
        </w:rPr>
        <w:t>1</w:t>
      </w:r>
      <w:r>
        <w:rPr>
          <w:rFonts w:hint="eastAsia" w:ascii="仿宋_GB2312" w:hAnsi="仿宋"/>
          <w:color w:val="auto"/>
          <w:szCs w:val="32"/>
        </w:rPr>
        <w:t>人次。该项经费根据</w:t>
      </w:r>
      <w:r>
        <w:rPr>
          <w:rFonts w:hint="eastAsia" w:ascii="仿宋_GB2312" w:hAnsi="仿宋"/>
          <w:color w:val="auto"/>
          <w:szCs w:val="32"/>
          <w:lang w:eastAsia="zh-CN"/>
        </w:rPr>
        <w:t>市</w:t>
      </w:r>
      <w:r>
        <w:rPr>
          <w:rFonts w:hint="eastAsia" w:ascii="仿宋_GB2312" w:hAnsi="仿宋"/>
          <w:color w:val="auto"/>
          <w:szCs w:val="32"/>
        </w:rPr>
        <w:t>外办批准的因公临时出国（境）计划，按照规定标准安排。主要是用于赴境外开展友城交往、招商推介任务及经贸合作等。</w:t>
      </w:r>
    </w:p>
    <w:p w14:paraId="3F1CE689">
      <w:pPr>
        <w:ind w:firstLine="643"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8.35</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8.02万元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96.05</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6.12</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322.11%。</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于预算数的主要原因是按照公务接待相关规定，严格控制支出。决算数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2023年疫情防控结束，因公出国（境）及各类公务接待人次有所增加</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color w:val="auto"/>
          <w:szCs w:val="32"/>
          <w:lang w:eastAsia="zh-CN"/>
        </w:rPr>
        <w:t>黄山市屯溪区</w:t>
      </w:r>
      <w:r>
        <w:rPr>
          <w:rFonts w:hint="eastAsia" w:ascii="仿宋_GB2312" w:hAnsi="仿宋"/>
          <w:color w:val="auto"/>
          <w:szCs w:val="32"/>
          <w:lang w:val="en-US" w:eastAsia="zh-CN"/>
        </w:rPr>
        <w:t>人民政府办公室</w:t>
      </w:r>
      <w:r>
        <w:rPr>
          <w:rFonts w:hint="eastAsia" w:ascii="仿宋_GB2312" w:hAnsi="仿宋"/>
          <w:color w:val="auto"/>
          <w:szCs w:val="32"/>
        </w:rPr>
        <w:t>国内公务接待共</w:t>
      </w:r>
      <w:r>
        <w:rPr>
          <w:rFonts w:hint="eastAsia" w:ascii="仿宋_GB2312" w:hAnsi="仿宋"/>
          <w:color w:val="auto"/>
          <w:szCs w:val="32"/>
          <w:lang w:val="en-US" w:eastAsia="zh-CN"/>
        </w:rPr>
        <w:t>48</w:t>
      </w:r>
      <w:r>
        <w:rPr>
          <w:rFonts w:hint="eastAsia" w:ascii="仿宋_GB2312" w:hAnsi="仿宋"/>
          <w:color w:val="auto"/>
          <w:szCs w:val="32"/>
        </w:rPr>
        <w:t>批次（其中外事接待</w:t>
      </w:r>
      <w:r>
        <w:rPr>
          <w:rFonts w:hint="eastAsia" w:ascii="仿宋_GB2312" w:hAnsi="仿宋"/>
          <w:color w:val="auto"/>
          <w:szCs w:val="32"/>
          <w:lang w:val="en-US" w:eastAsia="zh-CN"/>
        </w:rPr>
        <w:t>26</w:t>
      </w:r>
      <w:r>
        <w:rPr>
          <w:rFonts w:hint="eastAsia" w:ascii="仿宋_GB2312" w:hAnsi="仿宋"/>
          <w:color w:val="auto"/>
          <w:szCs w:val="32"/>
        </w:rPr>
        <w:t>批次），</w:t>
      </w:r>
      <w:r>
        <w:rPr>
          <w:rFonts w:hint="eastAsia" w:ascii="仿宋_GB2312" w:hAnsi="仿宋"/>
          <w:color w:val="auto"/>
          <w:szCs w:val="32"/>
          <w:lang w:val="en-US" w:eastAsia="zh-CN"/>
        </w:rPr>
        <w:t>535</w:t>
      </w:r>
      <w:r>
        <w:rPr>
          <w:rFonts w:hint="eastAsia" w:ascii="仿宋_GB2312" w:hAnsi="仿宋"/>
          <w:color w:val="auto"/>
          <w:szCs w:val="32"/>
        </w:rPr>
        <w:t>人次（其中外事接待</w:t>
      </w:r>
      <w:r>
        <w:rPr>
          <w:rFonts w:hint="eastAsia" w:ascii="仿宋_GB2312" w:hAnsi="仿宋"/>
          <w:color w:val="auto"/>
          <w:szCs w:val="32"/>
          <w:lang w:val="en-US" w:eastAsia="zh-CN"/>
        </w:rPr>
        <w:t>300余</w:t>
      </w:r>
      <w:r>
        <w:rPr>
          <w:rFonts w:hint="eastAsia" w:ascii="仿宋_GB2312" w:hAnsi="仿宋"/>
          <w:color w:val="auto"/>
          <w:szCs w:val="32"/>
        </w:rPr>
        <w:t>人次）。主要是用于</w:t>
      </w:r>
      <w:r>
        <w:rPr>
          <w:rFonts w:hint="eastAsia" w:ascii="仿宋_GB2312" w:hAnsi="仿宋"/>
          <w:color w:val="auto"/>
          <w:szCs w:val="32"/>
          <w:lang w:val="en-US" w:eastAsia="zh-CN"/>
        </w:rPr>
        <w:t>重大外事活动接待、上级领导指导工作和其他地方单位到我办调研学习</w:t>
      </w:r>
      <w:r>
        <w:rPr>
          <w:rFonts w:hint="eastAsia" w:ascii="仿宋_GB2312" w:hAnsi="仿宋"/>
          <w:color w:val="auto"/>
          <w:szCs w:val="32"/>
        </w:rPr>
        <w:t>。经费使用贯彻中央八项规定</w:t>
      </w:r>
      <w:r>
        <w:rPr>
          <w:rFonts w:hint="eastAsia" w:ascii="仿宋_GB2312" w:hAnsi="仿宋"/>
          <w:color w:val="auto"/>
          <w:szCs w:val="32"/>
          <w:lang w:eastAsia="zh-CN"/>
        </w:rPr>
        <w:t>精神</w:t>
      </w:r>
      <w:r>
        <w:rPr>
          <w:rFonts w:hint="eastAsia" w:ascii="仿宋_GB2312" w:hAnsi="仿宋"/>
          <w:color w:val="auto"/>
          <w:szCs w:val="32"/>
        </w:rPr>
        <w:t>和</w:t>
      </w:r>
      <w:r>
        <w:rPr>
          <w:rFonts w:hint="eastAsia" w:ascii="仿宋_GB2312" w:hAnsi="仿宋"/>
          <w:color w:val="auto"/>
          <w:szCs w:val="32"/>
          <w:lang w:val="en-US" w:eastAsia="zh-CN"/>
        </w:rPr>
        <w:t>安徽</w:t>
      </w:r>
      <w:r>
        <w:rPr>
          <w:rFonts w:hint="eastAsia" w:ascii="仿宋_GB2312" w:hAnsi="仿宋"/>
          <w:color w:val="auto"/>
          <w:szCs w:val="32"/>
        </w:rPr>
        <w:t>省实施细则，严格执行《党政机关厉行节约反对浪费条例》、《屯溪区党政机关国内公务考察及其接待管理暂行办法》（屯办〔2013〕35号）、《中共黄山市屯溪区委办公室 黄山市屯溪区人民政府办公室转发&lt;中共黄山市委办公厅 黄山市人民政府办公厅关于认真贯彻&lt;党政机关国内公务接待管理规定&gt;的通知&gt;》相关规定。</w:t>
      </w:r>
    </w:p>
    <w:p w14:paraId="1A5EE51F">
      <w:pPr>
        <w:ind w:firstLine="643" w:firstLineChars="200"/>
        <w:rPr>
          <w:rFonts w:hint="eastAsia"/>
          <w:color w:val="auto"/>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6</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2.93万元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48.83</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0.53</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15.32%。</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于预算数的主要原因是优化车辆使用和管理，压减公务用车运行维护费优化车辆使用和管理。决算数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通过严格执行公务用车管理规定，减少不必要的用车需求，降低运行维护费用</w:t>
      </w:r>
      <w:r>
        <w:rPr>
          <w:rFonts w:hint="eastAsia" w:ascii="仿宋_GB2312" w:hAnsi="仿宋"/>
          <w:color w:val="auto"/>
          <w:szCs w:val="32"/>
          <w:u w:val="none"/>
        </w:rPr>
        <w:t>。</w:t>
      </w:r>
      <w:r>
        <w:rPr>
          <w:rFonts w:hint="eastAsia" w:ascii="仿宋_GB2312" w:hAnsi="仿宋"/>
          <w:color w:val="auto"/>
          <w:szCs w:val="32"/>
          <w:u w:val="none"/>
          <w:lang w:val="en-US" w:eastAsia="zh-CN"/>
        </w:rPr>
        <w:t>2023年没有安排公务用车购置费。</w:t>
      </w:r>
      <w:r>
        <w:rPr>
          <w:rFonts w:hint="eastAsia" w:ascii="仿宋_GB2312" w:hAnsi="仿宋"/>
          <w:color w:val="auto"/>
          <w:szCs w:val="32"/>
        </w:rPr>
        <w:t>公务用车运行维护费，包括车辆燃料费、维修费、过路过桥费、保险费等支出，主要用于</w:t>
      </w:r>
      <w:r>
        <w:rPr>
          <w:rFonts w:hint="eastAsia" w:ascii="仿宋_GB2312" w:hAnsi="仿宋"/>
          <w:color w:val="auto"/>
          <w:szCs w:val="32"/>
          <w:lang w:val="en-US" w:eastAsia="zh-CN"/>
        </w:rPr>
        <w:t>公务用车日常开支。</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年12月31日，</w:t>
      </w:r>
      <w:r>
        <w:rPr>
          <w:rFonts w:hint="eastAsia" w:ascii="仿宋_GB2312" w:hAnsi="仿宋"/>
          <w:color w:val="auto"/>
          <w:szCs w:val="32"/>
          <w:lang w:eastAsia="zh-CN"/>
        </w:rPr>
        <w:t>黄山市屯溪区</w:t>
      </w:r>
      <w:r>
        <w:rPr>
          <w:rFonts w:hint="eastAsia" w:ascii="仿宋_GB2312" w:hAnsi="仿宋"/>
          <w:color w:val="auto"/>
          <w:szCs w:val="32"/>
          <w:lang w:val="en-US" w:eastAsia="zh-CN"/>
        </w:rPr>
        <w:t>人民政府办公室</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1</w:t>
      </w:r>
      <w:r>
        <w:rPr>
          <w:rFonts w:hint="eastAsia" w:ascii="仿宋_GB2312" w:hAnsi="仿宋"/>
          <w:color w:val="auto"/>
          <w:szCs w:val="32"/>
        </w:rPr>
        <w:t>辆。</w:t>
      </w:r>
    </w:p>
    <w:p w14:paraId="3986B1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UzNWUzNDdhNWU1YTRkNmRiYzhmNjk4ZTA1YzgifQ=="/>
  </w:docVars>
  <w:rsids>
    <w:rsidRoot w:val="00000000"/>
    <w:rsid w:val="1DAE065C"/>
    <w:rsid w:val="2C83070D"/>
    <w:rsid w:val="31105BC1"/>
    <w:rsid w:val="4D04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1460</Words>
  <Characters>1638</Characters>
  <Lines>0</Lines>
  <Paragraphs>0</Paragraphs>
  <TotalTime>64</TotalTime>
  <ScaleCrop>false</ScaleCrop>
  <LinksUpToDate>false</LinksUpToDate>
  <CharactersWithSpaces>1706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2024-09-11T01:01:00Z</dcterms:created>
  <dc:creator>ThinkVision</dc:creator>
  <cp:lastModifiedBy>微风细雨。</cp:lastModifiedBy>
  <dcterms:modified xsi:type="dcterms:W3CDTF">2024-11-22T07:04:38Z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33E1A07F43964FFC8DA76F00711C6D0E_13</vt:lpwstr>
  </property>
</Properties>
</file>