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屯溪区医保局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年度政府信息公开工作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年度报告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根据《中华人民共和国政府信息公开条例》（国务院令第711号）和《国务院办公厅政府信息与政务公开办公室关于印发〈中华人民共和国政府信息公开工作年度报告格式〉的通知》（国办公开办函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〔2021〕30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号）要求，编制本年度报告。报告的电子版可在黄山市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屯溪区医疗保障局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门户网站（https://www.ahtxq.gov.cn/zwgk/public/column/6616046?type=3&amp;action=detail&amp;nav=4&amp;title=2025）下载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年，屯溪区医疗保障局深入贯彻落实《中华人民共和国政府信息公开条例》及省、市、区关于政府信息公开工作的决策部署，坚持以公开为常态、不公开为例外，全面推进政府信息公开各项工作，有效保障了公众的知情权、参与权和监督权，为提升医保治理效能、增进民生福祉奠定了坚实基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bidi="ar-SA"/>
        </w:rPr>
        <w:t>主动公开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  <w:t>严格对照法定主动公开范围，结合医保工作实际，精准聚焦核心领域信息公开。重点公开医保待遇政策、基金收支运行、打击欺诈骗保、医疗救助名单、药品耗材集中采购、经办服务流程等群众高度关注的内容。全年累计主动公开各类政府信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300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  <w:t>条，其中医保政策文件及解读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方正仿宋_GBK" w:hAnsi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 w:bidi="ar-SA"/>
        </w:rPr>
        <w:t>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  <w:t>、基金监管信息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  <w:t>条、财政预决算信息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  <w:t>条、医疗救助公示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  <w:t>条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回应关切类信息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条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  <w:lang w:val="en-US" w:eastAsia="zh-CN" w:bidi="ar-SA"/>
        </w:rPr>
        <w:t>及时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向公众传达工作动态及回应社会群众热点关切问题。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bidi="ar-SA"/>
        </w:rPr>
        <w:t>（二）依申请公开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eastAsia="zh-CN" w:bidi="ar-SA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年，我局未接到政府信息公开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 w:bidi="ar-SA"/>
        </w:rPr>
        <w:t>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bidi="ar-SA"/>
        </w:rPr>
        <w:t>（三）政府信息管理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严格落实信息发布“三审”制度，重点加强对医保基金数据、参保人员信息、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  <w:lang w:val="en-US" w:eastAsia="zh-CN" w:bidi="ar-SA"/>
        </w:rPr>
        <w:t>待遇享受情况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等内容的审核，确保公开信息准确无误、合规合法，坚决杜绝敏感信息泄露。定期开展信息梳理核查工作，对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  <w:lang w:val="en-US" w:eastAsia="zh-CN" w:bidi="ar-SA"/>
        </w:rPr>
        <w:t>屯溪区医疗保障局门户网站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已公开信息进行全面排查，及时</w:t>
      </w:r>
      <w:r>
        <w:rPr>
          <w:rFonts w:hint="eastAsia" w:ascii="方正仿宋_GBK" w:hAnsi="方正仿宋_GBK" w:cs="方正仿宋_GBK"/>
          <w:color w:val="000000"/>
          <w:sz w:val="32"/>
          <w:szCs w:val="32"/>
          <w:shd w:val="clear" w:color="auto" w:fill="FFFFFF"/>
          <w:lang w:val="en-US" w:eastAsia="zh-CN" w:bidi="ar-SA"/>
        </w:rPr>
        <w:t>清理失效信息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，保障政府信息的时效性和实用性。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bidi="ar-SA"/>
        </w:rPr>
        <w:t>（四）政府信息公开平台建设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强化平台运维保障，安排专人负责与区政府网站运维部门的日常对接，定期协助开展运行状况排查，重点核查已发布信息的链接有效性、格式规范性等，发现问题第一时间反馈并配合整改，全力保障医保领域政务公开平台稳定、高效运行，切实发挥网站专栏作为医保权威信息公开核心载体的作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bidi="ar-SA"/>
        </w:rPr>
        <w:t>（五）监督保障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加强组织领导，成立由局党组书记、局长任组长，分管副局长任副组长，各科室及经办机构负责人为成员的政府信息公开工作领导小组，明确办公室为牵头责任科室，层层压实工作责任。建立常态化培训机制，组织开展《中华人民共和国政府信息公开条例》及医保领域信息公开业务培训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次，覆盖工作人员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人次，提升业务队伍的政策把握能力和实操水平。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bidi="ar-SA"/>
        </w:rPr>
        <w:t>建立健全政务公开监督检查机制，定期对各部门政务公开工作进行检查和评估，及时发现问题并督促整改。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36"/>
        <w:gridCol w:w="3222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eastAsia="方正黑体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五、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-SA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eastAsia="zh-CN" w:bidi="ar-SA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val="en-US" w:eastAsia="zh-CN" w:bidi="ar-SA"/>
        </w:rPr>
        <w:t>一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eastAsia="zh-CN" w:bidi="ar-SA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  <w:lang w:val="en-US" w:eastAsia="zh-CN" w:bidi="ar-SA"/>
        </w:rPr>
        <w:t>存在问题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outlineLvl w:val="0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主动公开精准度不足。聚焦群众高频关切的医保业务，如慢性病申报认定、异地就医直接结算、医疗救助申请等事项的公开内容仍不够细化，未充分结合群众办事全流程梳理公开要点，存在信息碎片化问题。</w:t>
      </w:r>
      <w:r>
        <w:rPr>
          <w:rFonts w:hint="eastAsia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政策解读针对性不强。解读内容多侧重政策原文梳理，未能充分结合参保群体特点开展差异化解读，且解读形式较为单一，以文字解读为主，缺乏更直观易懂的呈现方式，解读效果不佳。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outlineLvl w:val="0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（二）改进措施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outlineLvl w:val="0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精准梳理公开内容，提升信息实用性。围绕慢性病认定、异地就医备案、医疗救助申请等高频事项，编制“办事流程+所需材料+办理时限+咨询方式”全链条公开清单，形成标准化办事指南并在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门户网站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公开。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优化政策解读模式，增强解读针对性。针对老年参保群体、灵活就业人员等不同群体的政策需求开展差异化解读，分别编制简明解读材料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，并且通过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制作政策解读音频、图文图解等通俗化产品丰富解读形式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outlineLvl w:val="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outlineLvl w:val="0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本机关按照《国务院办公厅关于印发〈政府信息公开信息处理费管理办法〉 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wordWrap/>
        <w:bidi w:val="0"/>
      </w:pPr>
    </w:p>
    <w:p>
      <w:pPr>
        <w:keepNext w:val="0"/>
        <w:keepLines w:val="0"/>
        <w:pageBreakBefore w:val="0"/>
        <w:widowControl w:val="0"/>
        <w:wordWrap/>
        <w:bidi w:val="0"/>
      </w:pPr>
    </w:p>
    <w:p>
      <w:pPr>
        <w:keepNext w:val="0"/>
        <w:keepLines w:val="0"/>
        <w:pageBreakBefore w:val="0"/>
        <w:widowControl w:val="0"/>
        <w:wordWrap/>
        <w:bidi w:val="0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84B3D1-5318-4D5F-B912-6739269116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0842A85-1045-48A5-8C35-9AE7C97881D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975A7C-5B53-42E4-A976-51F719C68C4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CA04FD8-2C94-449B-B61D-AB081FEDE9E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29FBF91-64A6-4545-96A2-D5803B22153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AF7125F-9E33-435A-957D-81B35531C0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4575F3E-A88A-42EE-A3B6-DAB861292E5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D510A"/>
    <w:multiLevelType w:val="singleLevel"/>
    <w:tmpl w:val="B0DD51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E4B1951"/>
    <w:multiLevelType w:val="singleLevel"/>
    <w:tmpl w:val="BE4B19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NzM5OWUxMTQ0MDMzNjljMGJjODE0ZTUzZmZlMWYifQ=="/>
    <w:docVar w:name="KSO_WPS_MARK_KEY" w:val="7bc4190b-5e3c-44e0-9274-86c6b01bb834"/>
  </w:docVars>
  <w:rsids>
    <w:rsidRoot w:val="066E0BF0"/>
    <w:rsid w:val="066E0BF0"/>
    <w:rsid w:val="36B62047"/>
    <w:rsid w:val="60AD08C9"/>
    <w:rsid w:val="7BF6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widowControl w:val="0"/>
      <w:overflowPunct w:val="0"/>
      <w:topLinePunct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kern w:val="0"/>
      <w:sz w:val="24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2377</Words>
  <Characters>2512</Characters>
  <Lines>0</Lines>
  <Paragraphs>0</Paragraphs>
  <TotalTime>18</TotalTime>
  <ScaleCrop>false</ScaleCrop>
  <LinksUpToDate>false</LinksUpToDate>
  <CharactersWithSpaces>2513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2025-12-24T07:34:00Z</dcterms:created>
  <dc:creator>徐莫庭</dc:creator>
  <cp:lastModifiedBy>徐莫庭</cp:lastModifiedBy>
  <dcterms:modified xsi:type="dcterms:W3CDTF">2026-02-04T00:48:44Z</dcterms:modified>
  <dc:title>屯溪区医保局2025年度政府信息公开工作年度报告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6BF433A2A3BB4833A061850A1204300B</vt:lpwstr>
  </property>
</Properties>
</file>