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ascii="仿宋_GB2312" w:hAnsi="黑体" w:eastAsia="仿宋_GB2312" w:cs="Times New Roman"/>
          <w:color w:val="000000" w:themeColor="text1"/>
          <w:kern w:val="36"/>
          <w:sz w:val="32"/>
          <w:szCs w:val="32"/>
        </w:rPr>
      </w:pPr>
      <w:bookmarkStart w:id="0" w:name="OLE_LINK3"/>
    </w:p>
    <w:p>
      <w:pPr>
        <w:widowControl/>
        <w:shd w:val="clear" w:color="auto" w:fill="FFFFFF"/>
        <w:spacing w:line="675" w:lineRule="atLeast"/>
        <w:jc w:val="center"/>
        <w:outlineLvl w:val="0"/>
        <w:rPr>
          <w:rFonts w:cs="宋体" w:asciiTheme="minorEastAsia" w:hAnsiTheme="minorEastAsia"/>
          <w:b/>
          <w:bCs/>
          <w:color w:val="333333"/>
          <w:kern w:val="36"/>
          <w:sz w:val="44"/>
          <w:szCs w:val="44"/>
        </w:rPr>
      </w:pPr>
      <w:bookmarkStart w:id="3" w:name="_GoBack"/>
      <w:bookmarkStart w:id="1" w:name="OLE_LINK1"/>
      <w:bookmarkStart w:id="2" w:name="OLE_LINK2"/>
      <w:r>
        <w:rPr>
          <w:rFonts w:hint="eastAsia" w:cs="宋体" w:asciiTheme="minorEastAsia" w:hAnsiTheme="minorEastAsia"/>
          <w:b/>
          <w:bCs/>
          <w:color w:val="333333"/>
          <w:kern w:val="36"/>
          <w:sz w:val="44"/>
          <w:szCs w:val="44"/>
        </w:rPr>
        <w:t>屯溪区交通运输局</w:t>
      </w:r>
    </w:p>
    <w:p>
      <w:pPr>
        <w:widowControl/>
        <w:shd w:val="clear" w:color="auto" w:fill="FFFFFF"/>
        <w:spacing w:line="675" w:lineRule="atLeast"/>
        <w:jc w:val="center"/>
        <w:outlineLvl w:val="0"/>
        <w:rPr>
          <w:rFonts w:cs="宋体" w:asciiTheme="minorEastAsia" w:hAnsiTheme="minorEastAsia"/>
          <w:b/>
          <w:bCs/>
          <w:color w:val="333333"/>
          <w:kern w:val="36"/>
          <w:sz w:val="44"/>
          <w:szCs w:val="44"/>
        </w:rPr>
      </w:pPr>
      <w:r>
        <w:rPr>
          <w:rFonts w:hint="eastAsia" w:cs="宋体" w:asciiTheme="minorEastAsia" w:hAnsiTheme="minorEastAsia"/>
          <w:b/>
          <w:bCs/>
          <w:color w:val="333333"/>
          <w:kern w:val="36"/>
          <w:sz w:val="44"/>
          <w:szCs w:val="44"/>
        </w:rPr>
        <w:t>2025年度政府信息公开工作年度报告</w:t>
      </w:r>
    </w:p>
    <w:bookmarkEnd w:id="3"/>
    <w:p>
      <w:pPr>
        <w:widowControl/>
        <w:shd w:val="clear" w:color="auto" w:fill="FFFFFF"/>
        <w:spacing w:line="675" w:lineRule="atLeast"/>
        <w:jc w:val="center"/>
        <w:outlineLvl w:val="0"/>
        <w:rPr>
          <w:rFonts w:cs="宋体" w:asciiTheme="minorEastAsia" w:hAnsiTheme="minorEastAsia"/>
          <w:b/>
          <w:bCs/>
          <w:color w:val="333333"/>
          <w:kern w:val="36"/>
          <w:sz w:val="30"/>
          <w:szCs w:val="30"/>
        </w:rPr>
      </w:pPr>
    </w:p>
    <w:p>
      <w:pPr>
        <w:widowControl/>
        <w:kinsoku w:val="0"/>
        <w:autoSpaceDE w:val="0"/>
        <w:autoSpaceDN w:val="0"/>
        <w:adjustRightInd w:val="0"/>
        <w:snapToGrid w:val="0"/>
        <w:spacing w:line="297" w:lineRule="auto"/>
        <w:jc w:val="left"/>
        <w:textAlignment w:val="baseline"/>
        <w:rPr>
          <w:rFonts w:ascii="Arial" w:hAnsi="Arial" w:eastAsia="宋体" w:cs="Arial"/>
          <w:snapToGrid w:val="0"/>
          <w:color w:val="000000"/>
          <w:kern w:val="0"/>
          <w:szCs w:val="21"/>
          <w:lang w:eastAsia="en-US"/>
        </w:rPr>
      </w:pPr>
    </w:p>
    <w:p>
      <w:pPr>
        <w:overflowPunct w:val="0"/>
        <w:topLinePunct/>
        <w:spacing w:line="590" w:lineRule="exact"/>
        <w:ind w:firstLine="640" w:firstLineChars="200"/>
        <w:rPr>
          <w:rFonts w:ascii="Times New Roman" w:hAnsi="Times New Roman" w:eastAsia="方正仿宋_GBK" w:cs="Times New Roman"/>
          <w:sz w:val="32"/>
          <w:szCs w:val="32"/>
          <w:lang w:eastAsia="en-US"/>
        </w:rPr>
      </w:pPr>
      <w:r>
        <w:rPr>
          <w:rFonts w:ascii="Times New Roman" w:hAnsi="Times New Roman" w:eastAsia="方正仿宋_GBK" w:cs="Times New Roman"/>
          <w:sz w:val="32"/>
          <w:szCs w:val="32"/>
          <w:lang w:eastAsia="en-US"/>
        </w:rPr>
        <w:t>根据《中华人民共和国政府信息公开条例》（国务院令第 711 号）和《国务院办公厅政府信息与政务公开办公室关于印发〈中华人民共和国政府信息公开工作年度报告格式〉的通知》（国办公开办函〔2021〕30 号）要求，编制本年度报告。报告的电子版可在屯溪区交通运输局网站（https://www.ahtxq.gov.cn/zwgk/public/column/6616020?type=3&amp;action=detail&amp;nav=4&amp;title=2025）下载。如对年报有任何疑问，</w:t>
      </w:r>
      <w:r>
        <w:rPr>
          <w:rFonts w:ascii="Times New Roman" w:hAnsi="Times New Roman" w:eastAsia="方正仿宋_GBK" w:cs="Times New Roman"/>
          <w:sz w:val="32"/>
          <w:szCs w:val="32"/>
        </w:rPr>
        <w:t>请与屯溪区交通运输局联系（地址：屯溪区阳湖镇稽灵山1号301室，邮编：245000，电话：0559-2596325）。</w:t>
      </w:r>
    </w:p>
    <w:p>
      <w:pPr>
        <w:widowControl/>
        <w:kinsoku w:val="0"/>
        <w:autoSpaceDE w:val="0"/>
        <w:autoSpaceDN w:val="0"/>
        <w:adjustRightInd w:val="0"/>
        <w:snapToGrid w:val="0"/>
        <w:spacing w:before="75" w:line="590" w:lineRule="exact"/>
        <w:ind w:firstLine="805" w:firstLineChars="250"/>
        <w:jc w:val="left"/>
        <w:textAlignment w:val="baseline"/>
        <w:outlineLvl w:val="1"/>
        <w:rPr>
          <w:rFonts w:ascii="Times New Roman" w:hAnsi="Times New Roman" w:eastAsia="方正黑体_GBK" w:cs="Times New Roman"/>
          <w:bCs/>
          <w:snapToGrid w:val="0"/>
          <w:color w:val="000000" w:themeColor="text1"/>
          <w:spacing w:val="1"/>
          <w:kern w:val="0"/>
          <w:sz w:val="32"/>
          <w:szCs w:val="32"/>
          <w:lang w:eastAsia="en-US"/>
        </w:rPr>
      </w:pPr>
      <w:r>
        <w:rPr>
          <w:rFonts w:ascii="Times New Roman" w:hAnsi="Times New Roman" w:eastAsia="方正黑体_GBK" w:cs="Times New Roman"/>
          <w:bCs/>
          <w:snapToGrid w:val="0"/>
          <w:color w:val="000000" w:themeColor="text1"/>
          <w:spacing w:val="1"/>
          <w:kern w:val="0"/>
          <w:sz w:val="32"/>
          <w:szCs w:val="32"/>
          <w:lang w:eastAsia="en-US"/>
        </w:rPr>
        <w:t>一、总体情况</w:t>
      </w:r>
    </w:p>
    <w:p>
      <w:pPr>
        <w:overflowPunct w:val="0"/>
        <w:topLinePunct/>
        <w:spacing w:line="59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（一）主动公开</w:t>
      </w:r>
    </w:p>
    <w:p>
      <w:pPr>
        <w:overflowPunct w:val="0"/>
        <w:topLinePunct/>
        <w:spacing w:line="590" w:lineRule="exact"/>
        <w:ind w:firstLine="640" w:firstLineChars="200"/>
        <w:rPr>
          <w:rFonts w:ascii="Times New Roman" w:hAnsi="Times New Roman" w:eastAsia="方正仿宋_GBK" w:cs="Times New Roman"/>
          <w:sz w:val="32"/>
          <w:szCs w:val="32"/>
          <w:lang w:eastAsia="en-US"/>
        </w:rPr>
      </w:pPr>
      <w:r>
        <w:rPr>
          <w:rFonts w:ascii="Times New Roman" w:hAnsi="Times New Roman" w:eastAsia="方正仿宋_GBK" w:cs="Times New Roman"/>
          <w:sz w:val="32"/>
          <w:szCs w:val="32"/>
          <w:lang w:eastAsia="en-US"/>
        </w:rPr>
        <w:t>我局认真落实《中华人民共和国政府信息公开条例》，及时更新栏目相关内容，增强政府工作的透明度，提升基层政务公开标准化、规范化。</w:t>
      </w:r>
    </w:p>
    <w:p>
      <w:pPr>
        <w:overflowPunct w:val="0"/>
        <w:topLinePunct/>
        <w:spacing w:line="590" w:lineRule="exact"/>
        <w:ind w:firstLine="640" w:firstLineChars="200"/>
        <w:rPr>
          <w:rFonts w:ascii="Times New Roman" w:hAnsi="Times New Roman" w:eastAsia="方正仿宋_GBK" w:cs="Times New Roman"/>
          <w:sz w:val="32"/>
          <w:szCs w:val="32"/>
          <w:lang w:eastAsia="en-US"/>
        </w:rPr>
      </w:pPr>
      <w:r>
        <w:rPr>
          <w:rFonts w:ascii="Times New Roman" w:hAnsi="Times New Roman" w:eastAsia="方正仿宋_GBK" w:cs="Times New Roman"/>
          <w:sz w:val="32"/>
          <w:szCs w:val="32"/>
          <w:lang w:eastAsia="en-US"/>
        </w:rPr>
        <w:t>2025年我局共发布各类政务公开信息239条。全年召开新闻发布会1场，收到依申请公开0件，开展政府公开培训会1次。全年共承办人大建议共7件，其中主办5件、协办2件；政协委员提案5件，其中主办4件、协办1件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lang w:eastAsia="en-US"/>
        </w:rPr>
        <w:t>已全部办结。与代表见面率100%，满意率100%。</w:t>
      </w:r>
    </w:p>
    <w:p>
      <w:pPr>
        <w:overflowPunct w:val="0"/>
        <w:topLinePunct/>
        <w:spacing w:line="59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（二）依申请公开</w:t>
      </w:r>
    </w:p>
    <w:p>
      <w:pPr>
        <w:overflowPunct w:val="0"/>
        <w:topLinePunct/>
        <w:spacing w:line="590" w:lineRule="exact"/>
        <w:ind w:firstLine="640" w:firstLineChars="200"/>
        <w:rPr>
          <w:rFonts w:ascii="Times New Roman" w:hAnsi="Times New Roman" w:eastAsia="方正仿宋_GBK" w:cs="Times New Roman"/>
          <w:sz w:val="32"/>
          <w:szCs w:val="32"/>
          <w:lang w:eastAsia="en-US"/>
        </w:rPr>
      </w:pPr>
      <w:r>
        <w:rPr>
          <w:rFonts w:ascii="Times New Roman" w:hAnsi="Times New Roman" w:eastAsia="方正仿宋_GBK" w:cs="Times New Roman"/>
          <w:sz w:val="32"/>
          <w:szCs w:val="32"/>
          <w:lang w:eastAsia="en-US"/>
        </w:rPr>
        <w:t>今年我局未发生因有关政府信息公开而引发的行政复议案和行政诉讼案，未收到各类有关本单位政府信息公开事务的申诉案，也未收到公民、法人或其他组织提出的政府信息公开申请。</w:t>
      </w:r>
    </w:p>
    <w:p>
      <w:pPr>
        <w:overflowPunct w:val="0"/>
        <w:topLinePunct/>
        <w:spacing w:line="59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（三）政府信息管理</w:t>
      </w:r>
    </w:p>
    <w:p>
      <w:pPr>
        <w:overflowPunct w:val="0"/>
        <w:topLinePunct/>
        <w:spacing w:line="590" w:lineRule="exact"/>
        <w:ind w:firstLine="640" w:firstLineChars="200"/>
        <w:rPr>
          <w:rFonts w:ascii="Times New Roman" w:hAnsi="Times New Roman" w:eastAsia="方正仿宋_GBK" w:cs="Times New Roman"/>
          <w:sz w:val="32"/>
          <w:szCs w:val="32"/>
          <w:lang w:eastAsia="en-US"/>
        </w:rPr>
      </w:pPr>
      <w:r>
        <w:rPr>
          <w:rFonts w:ascii="Times New Roman" w:hAnsi="Times New Roman" w:eastAsia="方正仿宋_GBK" w:cs="Times New Roman"/>
          <w:sz w:val="32"/>
          <w:szCs w:val="32"/>
          <w:lang w:eastAsia="en-US"/>
        </w:rPr>
        <w:t>以“公开为常态、不公开为例外”为基本原则，着力把好信息公开审核，严格落实政府信息公开保密审查制度，坚持“谁分管、谁负责，谁发布、谁负责，谁审核、谁负责”的原则，及时对政府信息进行公开发布。</w:t>
      </w:r>
    </w:p>
    <w:p>
      <w:pPr>
        <w:overflowPunct w:val="0"/>
        <w:topLinePunct/>
        <w:spacing w:line="59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（四）政府信息公开平台建设</w:t>
      </w:r>
    </w:p>
    <w:p>
      <w:pPr>
        <w:overflowPunct w:val="0"/>
        <w:topLinePunct/>
        <w:spacing w:line="590" w:lineRule="exact"/>
        <w:ind w:firstLine="640" w:firstLineChars="200"/>
        <w:rPr>
          <w:rFonts w:ascii="Times New Roman" w:hAnsi="Times New Roman" w:eastAsia="方正仿宋_GBK" w:cs="Times New Roman"/>
          <w:sz w:val="32"/>
          <w:szCs w:val="32"/>
          <w:lang w:eastAsia="en-US"/>
        </w:rPr>
      </w:pPr>
      <w:r>
        <w:rPr>
          <w:rFonts w:ascii="Times New Roman" w:hAnsi="Times New Roman" w:eastAsia="方正仿宋_GBK" w:cs="Times New Roman"/>
          <w:sz w:val="32"/>
          <w:szCs w:val="32"/>
          <w:lang w:eastAsia="en-US"/>
        </w:rPr>
        <w:t>1.优化信息公开的报送、审核、发布等流程，强化过程管理，确保信息公开内容严谨全面，公开流程及时规范。</w:t>
      </w:r>
    </w:p>
    <w:p>
      <w:pPr>
        <w:overflowPunct w:val="0"/>
        <w:topLinePunct/>
        <w:spacing w:line="590" w:lineRule="exact"/>
        <w:ind w:firstLine="640" w:firstLineChars="200"/>
        <w:rPr>
          <w:rFonts w:ascii="Times New Roman" w:hAnsi="Times New Roman" w:eastAsia="方正仿宋_GBK" w:cs="Times New Roman"/>
          <w:sz w:val="32"/>
          <w:szCs w:val="32"/>
          <w:lang w:eastAsia="en-US"/>
        </w:rPr>
      </w:pPr>
      <w:r>
        <w:rPr>
          <w:rFonts w:ascii="Times New Roman" w:hAnsi="Times New Roman" w:eastAsia="方正仿宋_GBK" w:cs="Times New Roman"/>
          <w:sz w:val="32"/>
          <w:szCs w:val="32"/>
          <w:lang w:eastAsia="en-US"/>
        </w:rPr>
        <w:t>2.安排专人认真开展信息发布审查，坚持数据同源，及时、准确、规范地公开政府信息。</w:t>
      </w:r>
    </w:p>
    <w:p>
      <w:pPr>
        <w:overflowPunct w:val="0"/>
        <w:topLinePunct/>
        <w:spacing w:line="59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（五）监督保障</w:t>
      </w:r>
    </w:p>
    <w:p>
      <w:pPr>
        <w:overflowPunct w:val="0"/>
        <w:topLinePunct/>
        <w:spacing w:line="590" w:lineRule="exact"/>
        <w:ind w:firstLine="640" w:firstLineChars="200"/>
        <w:rPr>
          <w:rFonts w:ascii="Times New Roman" w:hAnsi="Times New Roman" w:eastAsia="方正仿宋_GBK" w:cs="Times New Roman"/>
          <w:sz w:val="32"/>
          <w:szCs w:val="32"/>
          <w:lang w:eastAsia="en-US"/>
        </w:rPr>
      </w:pPr>
      <w:r>
        <w:rPr>
          <w:rFonts w:ascii="Times New Roman" w:hAnsi="Times New Roman" w:eastAsia="方正仿宋_GBK" w:cs="Times New Roman"/>
          <w:sz w:val="32"/>
          <w:szCs w:val="32"/>
          <w:lang w:eastAsia="en-US"/>
        </w:rPr>
        <w:t>在建立健全相关制度的基础上，强化对政务公开目录进行巡查，及时发现问题和不足，查缺补漏，力争做到政府信息公开全面、及时、规范。</w:t>
      </w:r>
    </w:p>
    <w:p>
      <w:pPr>
        <w:pStyle w:val="4"/>
        <w:widowControl/>
        <w:shd w:val="clear" w:color="auto" w:fill="FFFFFF"/>
        <w:spacing w:beforeAutospacing="0" w:afterAutospacing="0" w:line="590" w:lineRule="exact"/>
        <w:ind w:firstLine="640" w:firstLineChars="200"/>
        <w:jc w:val="both"/>
        <w:rPr>
          <w:rFonts w:ascii="Times New Roman" w:hAnsi="Times New Roman" w:eastAsia="方正黑体_GBK"/>
          <w:color w:val="0C0C0C" w:themeColor="text1" w:themeTint="F2"/>
          <w:kern w:val="2"/>
          <w:sz w:val="32"/>
          <w:szCs w:val="32"/>
        </w:rPr>
      </w:pPr>
      <w:r>
        <w:rPr>
          <w:rFonts w:ascii="Times New Roman" w:hAnsi="Times New Roman" w:eastAsia="方正黑体_GBK"/>
          <w:color w:val="0C0C0C" w:themeColor="text1" w:themeTint="F2"/>
          <w:kern w:val="2"/>
          <w:sz w:val="32"/>
          <w:szCs w:val="32"/>
        </w:rPr>
        <w:t>二、主动公开政府信息情况</w:t>
      </w:r>
    </w:p>
    <w:p>
      <w:pPr>
        <w:pStyle w:val="4"/>
        <w:widowControl/>
        <w:shd w:val="clear" w:color="auto" w:fill="FFFFFF"/>
        <w:spacing w:beforeAutospacing="0" w:afterAutospacing="0" w:line="560" w:lineRule="exact"/>
        <w:jc w:val="both"/>
        <w:rPr>
          <w:rFonts w:ascii="Times New Roman" w:hAnsi="Times New Roman" w:eastAsia="仿宋_GB2312"/>
          <w:color w:val="0C0C0C" w:themeColor="text1" w:themeTint="F2"/>
          <w:sz w:val="32"/>
          <w:szCs w:val="32"/>
          <w:shd w:val="clear" w:color="auto" w:fill="FFFFFF"/>
        </w:rPr>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Cs w:val="21"/>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Cs w:val="21"/>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00000" w:themeColor="text1"/>
              </w:rPr>
            </w:pPr>
            <w:r>
              <w:rPr>
                <w:rFonts w:ascii="Times New Roman" w:hAnsi="Times New Roman" w:cs="Times New Roman"/>
                <w:color w:val="000000" w:themeColor="text1"/>
              </w:rPr>
              <w:t>22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spacing w:line="560" w:lineRule="exact"/>
              <w:jc w:val="center"/>
              <w:rPr>
                <w:rFonts w:ascii="Times New Roman" w:hAnsi="Times New Roman" w:cs="Times New Roman"/>
                <w:color w:val="0C0C0C" w:themeColor="text1" w:themeTint="F2"/>
                <w:sz w:val="24"/>
              </w:rPr>
            </w:pPr>
            <w:r>
              <w:rPr>
                <w:rFonts w:ascii="Times New Roman" w:hAnsi="Times New Roman" w:eastAsia="宋体" w:cs="Times New Roman"/>
                <w:color w:val="0C0C0C" w:themeColor="text1" w:themeTint="F2"/>
                <w:sz w:val="24"/>
              </w:rPr>
              <w:t>0</w:t>
            </w:r>
          </w:p>
        </w:tc>
      </w:tr>
    </w:tbl>
    <w:p>
      <w:pPr>
        <w:widowControl/>
        <w:spacing w:line="560" w:lineRule="exact"/>
        <w:jc w:val="left"/>
        <w:rPr>
          <w:rFonts w:ascii="Times New Roman" w:hAnsi="Times New Roman" w:cs="Times New Roman"/>
          <w:color w:val="0C0C0C" w:themeColor="text1" w:themeTint="F2"/>
        </w:rPr>
      </w:pPr>
    </w:p>
    <w:p>
      <w:pPr>
        <w:pStyle w:val="4"/>
        <w:widowControl/>
        <w:numPr>
          <w:ilvl w:val="0"/>
          <w:numId w:val="1"/>
        </w:numPr>
        <w:shd w:val="clear" w:color="auto" w:fill="FFFFFF"/>
        <w:spacing w:beforeAutospacing="0" w:afterAutospacing="0" w:line="560" w:lineRule="exact"/>
        <w:ind w:firstLine="420"/>
        <w:jc w:val="both"/>
        <w:rPr>
          <w:rFonts w:ascii="Times New Roman" w:hAnsi="Times New Roman" w:eastAsia="方正黑体_GBK"/>
          <w:color w:val="0C0C0C" w:themeColor="text1" w:themeTint="F2"/>
          <w:kern w:val="2"/>
          <w:sz w:val="32"/>
          <w:szCs w:val="32"/>
        </w:rPr>
      </w:pPr>
      <w:r>
        <w:rPr>
          <w:rFonts w:ascii="Times New Roman" w:hAnsi="Times New Roman" w:eastAsia="方正黑体_GBK"/>
          <w:color w:val="0C0C0C" w:themeColor="text1" w:themeTint="F2"/>
          <w:kern w:val="2"/>
          <w:sz w:val="32"/>
          <w:szCs w:val="32"/>
        </w:rPr>
        <w:t>收到和处理政府信息公开申请情况</w:t>
      </w:r>
    </w:p>
    <w:p>
      <w:pPr>
        <w:pStyle w:val="4"/>
        <w:widowControl/>
        <w:shd w:val="clear" w:color="auto" w:fill="FFFFFF"/>
        <w:spacing w:beforeAutospacing="0" w:afterAutospacing="0" w:line="560" w:lineRule="exact"/>
        <w:ind w:left="420"/>
        <w:jc w:val="both"/>
        <w:rPr>
          <w:rFonts w:ascii="Times New Roman" w:hAnsi="Times New Roman" w:eastAsia="黑体"/>
          <w:color w:val="0C0C0C" w:themeColor="text1" w:themeTint="F2"/>
          <w:kern w:val="2"/>
          <w:sz w:val="32"/>
          <w:szCs w:val="32"/>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spacing w:line="560" w:lineRule="exact"/>
              <w:jc w:val="left"/>
              <w:rPr>
                <w:rFonts w:ascii="Times New Roman" w:hAnsi="Times New Roman" w:cs="Times New Roman" w:eastAsiaTheme="majorEastAsia"/>
                <w:color w:val="0C0C0C" w:themeColor="text1" w:themeTint="F2"/>
                <w:sz w:val="20"/>
                <w:szCs w:val="20"/>
              </w:rPr>
            </w:pPr>
            <w:r>
              <w:rPr>
                <w:rFonts w:ascii="Times New Roman" w:hAnsi="Times New Roman" w:cs="Times New Roman" w:eastAsiaTheme="majorEastAsia"/>
                <w:color w:val="0C0C0C" w:themeColor="text1" w:themeTint="F2"/>
                <w:kern w:val="0"/>
                <w:sz w:val="20"/>
                <w:szCs w:val="20"/>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cs="Times New Roman"/>
                <w:color w:val="0C0C0C" w:themeColor="text1" w:themeTint="F2"/>
                <w:sz w:val="24"/>
              </w:rPr>
            </w:pPr>
          </w:p>
        </w:tc>
        <w:tc>
          <w:tcPr>
            <w:tcW w:w="691"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eastAsia="宋体" w:cs="Times New Roman"/>
                <w:color w:val="0C0C0C" w:themeColor="text1" w:themeTint="F2"/>
                <w:kern w:val="0"/>
                <w:sz w:val="20"/>
                <w:szCs w:val="20"/>
              </w:rPr>
            </w:pPr>
            <w:r>
              <w:rPr>
                <w:rFonts w:ascii="Times New Roman" w:hAnsi="Times New Roman" w:eastAsia="宋体" w:cs="Times New Roman"/>
                <w:color w:val="0C0C0C" w:themeColor="text1" w:themeTint="F2"/>
                <w:kern w:val="0"/>
                <w:sz w:val="20"/>
                <w:szCs w:val="20"/>
              </w:rPr>
              <w:t>自</w:t>
            </w:r>
          </w:p>
          <w:p>
            <w:pPr>
              <w:widowControl/>
              <w:spacing w:line="560" w:lineRule="exact"/>
              <w:jc w:val="center"/>
              <w:rPr>
                <w:rFonts w:ascii="Times New Roman" w:hAnsi="Times New Roman" w:eastAsia="宋体" w:cs="Times New Roman"/>
                <w:color w:val="0C0C0C" w:themeColor="text1" w:themeTint="F2"/>
                <w:kern w:val="0"/>
                <w:sz w:val="20"/>
                <w:szCs w:val="20"/>
              </w:rPr>
            </w:pPr>
            <w:r>
              <w:rPr>
                <w:rFonts w:ascii="Times New Roman" w:hAnsi="Times New Roman" w:eastAsia="宋体" w:cs="Times New Roman"/>
                <w:color w:val="0C0C0C" w:themeColor="text1" w:themeTint="F2"/>
                <w:kern w:val="0"/>
                <w:sz w:val="20"/>
                <w:szCs w:val="20"/>
              </w:rPr>
              <w:t>然</w:t>
            </w:r>
          </w:p>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法人或其他组织</w:t>
            </w:r>
          </w:p>
        </w:tc>
        <w:tc>
          <w:tcPr>
            <w:tcW w:w="691"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cs="Times New Roman"/>
                <w:color w:val="0C0C0C" w:themeColor="text1" w:themeTint="F2"/>
                <w:sz w:val="24"/>
              </w:rPr>
            </w:pPr>
          </w:p>
        </w:tc>
        <w:tc>
          <w:tcPr>
            <w:tcW w:w="691"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商业</w:t>
            </w:r>
          </w:p>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科研</w:t>
            </w:r>
          </w:p>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其他</w:t>
            </w:r>
          </w:p>
        </w:tc>
        <w:tc>
          <w:tcPr>
            <w:tcW w:w="691"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一、本年新收政府信息公开申请数量</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二、上年结转政府信息公开申请数量</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三、本年度办理结果</w:t>
            </w: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（一）予以公开</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（二）部分公开</w:t>
            </w:r>
            <w:r>
              <w:rPr>
                <w:rFonts w:ascii="Times New Roman" w:hAnsi="Times New Roman" w:eastAsia="楷体" w:cs="Times New Roman"/>
                <w:color w:val="0C0C0C" w:themeColor="text1" w:themeTint="F2"/>
                <w:kern w:val="0"/>
                <w:sz w:val="20"/>
                <w:szCs w:val="20"/>
              </w:rPr>
              <w:t>（区分处理的，只计这一情形，不计其他情形）</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（三）不予公开</w:t>
            </w: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1.属于国家秘密</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2.其他法律行政法规禁止公开</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3.危及“三安全一稳定”</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4.保护第三方合法权益</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5.属于三类内部事务信息</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6.属于四类过程性信息</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7.属于行政执法案卷</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8.属于行政查询事项</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（四）无法提供</w:t>
            </w: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1.本机关不掌握相关政府信息</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2.没有现成信息需要另行制作</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3.补正后申请内容仍不明确</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（五）不予处理</w:t>
            </w: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1.信访举报投诉类申请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2.重复申请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3.要求提供公开出版物</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4.无正当理由大量反复申请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5.要求行政机关确认或重新出具已获取信息</w:t>
            </w:r>
          </w:p>
        </w:tc>
        <w:tc>
          <w:tcPr>
            <w:tcW w:w="691"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（六）其他处理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1.申请人无正当理由逾期不补正、行政机关不再处理其政府信息公开申请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77" w:hRule="atLeast"/>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3.其他</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Times New Roman" w:hAnsi="Times New Roman" w:cs="Times New Roman"/>
                <w:color w:val="0C0C0C" w:themeColor="text1" w:themeTint="F2"/>
                <w:sz w:val="24"/>
              </w:rPr>
            </w:pP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（七）总计</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四、结转下年度继续办理</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cs="Times New Roman"/>
                <w:color w:val="0C0C0C" w:themeColor="text1" w:themeTint="F2"/>
                <w:kern w:val="0"/>
                <w:sz w:val="20"/>
                <w:szCs w:val="20"/>
              </w:rPr>
              <w:t>0</w:t>
            </w:r>
          </w:p>
        </w:tc>
      </w:tr>
    </w:tbl>
    <w:p>
      <w:pPr>
        <w:widowControl/>
        <w:shd w:val="clear" w:color="auto" w:fill="FFFFFF"/>
        <w:spacing w:line="560" w:lineRule="exact"/>
        <w:jc w:val="center"/>
        <w:rPr>
          <w:rFonts w:ascii="Times New Roman" w:hAnsi="Times New Roman" w:eastAsia="宋体" w:cs="Times New Roman"/>
          <w:color w:val="0C0C0C" w:themeColor="text1" w:themeTint="F2"/>
          <w:sz w:val="24"/>
        </w:rPr>
      </w:pPr>
    </w:p>
    <w:p>
      <w:pPr>
        <w:pStyle w:val="4"/>
        <w:widowControl/>
        <w:shd w:val="clear" w:color="auto" w:fill="FFFFFF"/>
        <w:spacing w:beforeAutospacing="0" w:afterAutospacing="0" w:line="560" w:lineRule="exact"/>
        <w:ind w:left="420"/>
        <w:jc w:val="both"/>
        <w:rPr>
          <w:rFonts w:ascii="Times New Roman" w:hAnsi="Times New Roman" w:eastAsia="方正黑体_GBK"/>
          <w:color w:val="0C0C0C" w:themeColor="text1" w:themeTint="F2"/>
          <w:kern w:val="2"/>
          <w:sz w:val="32"/>
          <w:szCs w:val="32"/>
        </w:rPr>
      </w:pPr>
      <w:r>
        <w:rPr>
          <w:rFonts w:ascii="Times New Roman" w:hAnsi="Times New Roman" w:eastAsia="方正黑体_GBK"/>
          <w:color w:val="0C0C0C" w:themeColor="text1" w:themeTint="F2"/>
          <w:kern w:val="2"/>
          <w:sz w:val="32"/>
          <w:szCs w:val="32"/>
        </w:rPr>
        <w:t>四、政府信息公开行政复议、行政诉讼情况</w:t>
      </w:r>
    </w:p>
    <w:p>
      <w:pPr>
        <w:widowControl/>
        <w:shd w:val="clear" w:color="auto" w:fill="FFFFFF"/>
        <w:spacing w:line="560" w:lineRule="exact"/>
        <w:jc w:val="center"/>
        <w:rPr>
          <w:rFonts w:ascii="Times New Roman" w:hAnsi="Times New Roman" w:eastAsia="宋体" w:cs="Times New Roman"/>
          <w:color w:val="0C0C0C" w:themeColor="text1" w:themeTint="F2"/>
          <w:sz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结果</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其他</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尚未</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cs="Times New Roman"/>
                <w:color w:val="0C0C0C" w:themeColor="text1" w:themeTint="F2"/>
                <w:sz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cs="Times New Roman"/>
                <w:color w:val="0C0C0C" w:themeColor="text1" w:themeTint="F2"/>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cs="Times New Roman"/>
                <w:color w:val="0C0C0C" w:themeColor="text1" w:themeTint="F2"/>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cs="Times New Roman"/>
                <w:color w:val="0C0C0C" w:themeColor="text1" w:themeTint="F2"/>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cs="Times New Roman"/>
                <w:color w:val="0C0C0C" w:themeColor="text1" w:themeTint="F2"/>
                <w:sz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结果</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结果</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其他</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尚未</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结果</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结果</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其他</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尚未</w:t>
            </w:r>
            <w:r>
              <w:rPr>
                <w:rFonts w:ascii="Times New Roman" w:hAnsi="Times New Roman" w:eastAsia="宋体" w:cs="Times New Roman"/>
                <w:color w:val="0C0C0C" w:themeColor="text1" w:themeTint="F2"/>
                <w:kern w:val="0"/>
                <w:sz w:val="20"/>
                <w:szCs w:val="20"/>
              </w:rPr>
              <w:br w:type="textWrapping"/>
            </w:r>
            <w:r>
              <w:rPr>
                <w:rFonts w:ascii="Times New Roman" w:hAnsi="Times New Roman" w:eastAsia="宋体" w:cs="Times New Roman"/>
                <w:color w:val="0C0C0C" w:themeColor="text1" w:themeTint="F2"/>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宋体" w:cs="Times New Roman"/>
                <w:color w:val="0C0C0C" w:themeColor="text1" w:themeTint="F2"/>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cs="Times New Roman"/>
                <w:color w:val="0C0C0C" w:themeColor="text1" w:themeTint="F2"/>
              </w:rPr>
            </w:pPr>
            <w:r>
              <w:rPr>
                <w:rFonts w:ascii="Times New Roman" w:hAnsi="Times New Roman" w:eastAsia="黑体" w:cs="Times New Roman"/>
                <w:color w:val="0C0C0C" w:themeColor="text1" w:themeTint="F2"/>
                <w:kern w:val="0"/>
                <w:sz w:val="20"/>
                <w:szCs w:val="20"/>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Times New Roman" w:hAnsi="Times New Roman" w:cs="Times New Roman"/>
                <w:color w:val="0C0C0C" w:themeColor="text1" w:themeTint="F2"/>
                <w:sz w:val="24"/>
              </w:rPr>
            </w:pPr>
            <w:r>
              <w:rPr>
                <w:rFonts w:ascii="Times New Roman" w:hAnsi="Times New Roman" w:cs="Times New Roman"/>
                <w:color w:val="0C0C0C" w:themeColor="text1" w:themeTint="F2"/>
                <w:sz w:val="24"/>
              </w:rPr>
              <w:t>0</w:t>
            </w:r>
          </w:p>
        </w:tc>
      </w:tr>
    </w:tbl>
    <w:p>
      <w:pPr>
        <w:pStyle w:val="4"/>
        <w:widowControl/>
        <w:shd w:val="clear" w:color="auto" w:fill="FFFFFF"/>
        <w:spacing w:beforeAutospacing="0" w:afterAutospacing="0" w:line="590" w:lineRule="exact"/>
        <w:ind w:firstLine="640" w:firstLineChars="200"/>
        <w:jc w:val="both"/>
        <w:rPr>
          <w:rFonts w:ascii="Times New Roman" w:hAnsi="Times New Roman" w:eastAsia="方正黑体_GBK"/>
          <w:color w:val="0C0C0C" w:themeColor="text1" w:themeTint="F2"/>
          <w:kern w:val="2"/>
          <w:sz w:val="32"/>
          <w:szCs w:val="32"/>
        </w:rPr>
      </w:pPr>
    </w:p>
    <w:p>
      <w:pPr>
        <w:pStyle w:val="4"/>
        <w:widowControl/>
        <w:shd w:val="clear" w:color="auto" w:fill="FFFFFF"/>
        <w:spacing w:beforeAutospacing="0" w:afterAutospacing="0" w:line="590" w:lineRule="exact"/>
        <w:ind w:firstLine="640" w:firstLineChars="200"/>
        <w:jc w:val="both"/>
        <w:rPr>
          <w:rFonts w:ascii="Times New Roman" w:hAnsi="Times New Roman" w:eastAsia="方正黑体_GBK"/>
          <w:color w:val="0C0C0C" w:themeColor="text1" w:themeTint="F2"/>
          <w:kern w:val="2"/>
          <w:sz w:val="32"/>
          <w:szCs w:val="32"/>
        </w:rPr>
      </w:pPr>
      <w:r>
        <w:rPr>
          <w:rFonts w:ascii="Times New Roman" w:hAnsi="Times New Roman" w:eastAsia="方正黑体_GBK"/>
          <w:color w:val="0C0C0C" w:themeColor="text1" w:themeTint="F2"/>
          <w:kern w:val="2"/>
          <w:sz w:val="32"/>
          <w:szCs w:val="32"/>
        </w:rPr>
        <w:t>五、存在的主要问题及改进情况</w:t>
      </w:r>
    </w:p>
    <w:p>
      <w:pPr>
        <w:overflowPunct w:val="0"/>
        <w:topLinePunct/>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2025年，我局政务公开工作取得了一定进展，但也存在一些问题和不足，一是信息公开</w:t>
      </w:r>
      <w:r>
        <w:rPr>
          <w:rFonts w:hint="eastAsia" w:ascii="Times New Roman" w:hAnsi="Times New Roman" w:eastAsia="方正仿宋_GBK" w:cs="Times New Roman"/>
          <w:sz w:val="32"/>
          <w:szCs w:val="32"/>
        </w:rPr>
        <w:t>内容质量不高，更新不及时，</w:t>
      </w:r>
      <w:r>
        <w:rPr>
          <w:rFonts w:ascii="Times New Roman" w:hAnsi="Times New Roman" w:eastAsia="方正仿宋_GBK" w:cs="Times New Roman"/>
          <w:sz w:val="32"/>
          <w:szCs w:val="32"/>
        </w:rPr>
        <w:t>范围和内容有待进一步扩大完善；二是主动公开信息还不够全面，政策解读转载上级解读内容较多。</w:t>
      </w:r>
    </w:p>
    <w:p>
      <w:pPr>
        <w:overflowPunct w:val="0"/>
        <w:topLinePunct/>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下一步，我局将在以下方面改进：一是狠抓整改落实</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以监督促公开，以公开促落实，</w:t>
      </w:r>
      <w:r>
        <w:rPr>
          <w:rFonts w:hint="eastAsia" w:ascii="Times New Roman" w:hAnsi="Times New Roman" w:eastAsia="方正仿宋_GBK" w:cs="Times New Roman"/>
          <w:sz w:val="32"/>
          <w:szCs w:val="32"/>
        </w:rPr>
        <w:t>提升内容质量</w:t>
      </w:r>
      <w:r>
        <w:rPr>
          <w:rFonts w:ascii="Times New Roman" w:hAnsi="Times New Roman" w:eastAsia="方正仿宋_GBK" w:cs="Times New Roman"/>
          <w:sz w:val="32"/>
          <w:szCs w:val="32"/>
        </w:rPr>
        <w:t>；二是强化政策解读力度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积极探索创新解读方式，增强政策解读质效。</w:t>
      </w:r>
    </w:p>
    <w:p>
      <w:pPr>
        <w:widowControl/>
        <w:shd w:val="clear" w:color="auto" w:fill="FFFFFF"/>
        <w:spacing w:line="590" w:lineRule="exact"/>
        <w:ind w:firstLine="640" w:firstLineChars="200"/>
        <w:rPr>
          <w:rFonts w:ascii="Times New Roman" w:hAnsi="Times New Roman" w:eastAsia="方正黑体_GBK" w:cs="Times New Roman"/>
          <w:color w:val="0C0C0C" w:themeColor="text1" w:themeTint="F2"/>
          <w:kern w:val="0"/>
          <w:sz w:val="32"/>
          <w:szCs w:val="32"/>
        </w:rPr>
      </w:pPr>
      <w:r>
        <w:rPr>
          <w:rFonts w:ascii="Times New Roman" w:hAnsi="Times New Roman" w:eastAsia="方正黑体_GBK" w:cs="Times New Roman"/>
          <w:color w:val="0C0C0C" w:themeColor="text1" w:themeTint="F2"/>
          <w:sz w:val="32"/>
          <w:szCs w:val="32"/>
        </w:rPr>
        <w:t>六、其他需要报告的事项</w:t>
      </w:r>
    </w:p>
    <w:p>
      <w:pPr>
        <w:overflowPunct w:val="0"/>
        <w:topLinePunct/>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按照《国务院办公厅关于印发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政府信息公开信息处理费管理办法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的通知》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国办函〔2020〕109号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规定，我局本年度没有产生信息公开处理费。</w:t>
      </w:r>
    </w:p>
    <w:bookmarkEnd w:id="0"/>
    <w:bookmarkEnd w:id="1"/>
    <w:bookmarkEnd w:id="2"/>
    <w:p>
      <w:pPr>
        <w:spacing w:line="590" w:lineRule="exact"/>
        <w:ind w:firstLine="640" w:firstLineChars="200"/>
        <w:rPr>
          <w:rFonts w:ascii="Times New Roman" w:hAnsi="Times New Roman" w:eastAsia="仿宋_GB2312" w:cs="Times New Roman"/>
          <w:color w:val="0C0C0C" w:themeColor="text1" w:themeTint="F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0" w:usb3="00000000" w:csb0="000001FF"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8652A"/>
    <w:multiLevelType w:val="singleLevel"/>
    <w:tmpl w:val="E9B8652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00D4"/>
    <w:rsid w:val="00016C15"/>
    <w:rsid w:val="00022D5C"/>
    <w:rsid w:val="0002338D"/>
    <w:rsid w:val="000245EE"/>
    <w:rsid w:val="000517B4"/>
    <w:rsid w:val="00067481"/>
    <w:rsid w:val="00082C87"/>
    <w:rsid w:val="00087137"/>
    <w:rsid w:val="000900D4"/>
    <w:rsid w:val="0009261F"/>
    <w:rsid w:val="0009336D"/>
    <w:rsid w:val="000B2955"/>
    <w:rsid w:val="000C001C"/>
    <w:rsid w:val="000C3338"/>
    <w:rsid w:val="000D58A8"/>
    <w:rsid w:val="000E755A"/>
    <w:rsid w:val="000F61CE"/>
    <w:rsid w:val="00102066"/>
    <w:rsid w:val="00154CF0"/>
    <w:rsid w:val="00161D5D"/>
    <w:rsid w:val="00166869"/>
    <w:rsid w:val="0018318F"/>
    <w:rsid w:val="00184A03"/>
    <w:rsid w:val="00193001"/>
    <w:rsid w:val="00196DE4"/>
    <w:rsid w:val="001A2593"/>
    <w:rsid w:val="001A423C"/>
    <w:rsid w:val="001B26A0"/>
    <w:rsid w:val="001B42C4"/>
    <w:rsid w:val="001B52EA"/>
    <w:rsid w:val="001C2C4A"/>
    <w:rsid w:val="001E194F"/>
    <w:rsid w:val="001F299B"/>
    <w:rsid w:val="001F7839"/>
    <w:rsid w:val="00204082"/>
    <w:rsid w:val="0020424E"/>
    <w:rsid w:val="002057DB"/>
    <w:rsid w:val="0020717B"/>
    <w:rsid w:val="00210A91"/>
    <w:rsid w:val="00217624"/>
    <w:rsid w:val="00234027"/>
    <w:rsid w:val="0023521E"/>
    <w:rsid w:val="00246223"/>
    <w:rsid w:val="0025055C"/>
    <w:rsid w:val="00252165"/>
    <w:rsid w:val="00261BD6"/>
    <w:rsid w:val="00273CD0"/>
    <w:rsid w:val="00283ABC"/>
    <w:rsid w:val="002A29E2"/>
    <w:rsid w:val="002A573D"/>
    <w:rsid w:val="002A67E9"/>
    <w:rsid w:val="002B4327"/>
    <w:rsid w:val="002C036D"/>
    <w:rsid w:val="002C614F"/>
    <w:rsid w:val="002D0738"/>
    <w:rsid w:val="002D2B9B"/>
    <w:rsid w:val="002D36F5"/>
    <w:rsid w:val="0030530B"/>
    <w:rsid w:val="0032439C"/>
    <w:rsid w:val="00326A9A"/>
    <w:rsid w:val="00335E97"/>
    <w:rsid w:val="00345F3A"/>
    <w:rsid w:val="00371416"/>
    <w:rsid w:val="00392742"/>
    <w:rsid w:val="00393DAF"/>
    <w:rsid w:val="003A0CF6"/>
    <w:rsid w:val="003A46F6"/>
    <w:rsid w:val="003C0B11"/>
    <w:rsid w:val="003C38F3"/>
    <w:rsid w:val="003D7507"/>
    <w:rsid w:val="003E3817"/>
    <w:rsid w:val="003E580A"/>
    <w:rsid w:val="003F00F6"/>
    <w:rsid w:val="003F317E"/>
    <w:rsid w:val="00405CA7"/>
    <w:rsid w:val="004127CA"/>
    <w:rsid w:val="00413A84"/>
    <w:rsid w:val="00417463"/>
    <w:rsid w:val="004210C8"/>
    <w:rsid w:val="004222FC"/>
    <w:rsid w:val="0042340C"/>
    <w:rsid w:val="00436355"/>
    <w:rsid w:val="00453B6D"/>
    <w:rsid w:val="00456ECB"/>
    <w:rsid w:val="00457825"/>
    <w:rsid w:val="00466393"/>
    <w:rsid w:val="00481F07"/>
    <w:rsid w:val="00486303"/>
    <w:rsid w:val="004924CE"/>
    <w:rsid w:val="004A561A"/>
    <w:rsid w:val="004C1EE4"/>
    <w:rsid w:val="004C4F8B"/>
    <w:rsid w:val="004E73BF"/>
    <w:rsid w:val="004F5ADE"/>
    <w:rsid w:val="00522395"/>
    <w:rsid w:val="00534B1D"/>
    <w:rsid w:val="00537974"/>
    <w:rsid w:val="005619EA"/>
    <w:rsid w:val="005633AA"/>
    <w:rsid w:val="0056424D"/>
    <w:rsid w:val="00565F43"/>
    <w:rsid w:val="00570285"/>
    <w:rsid w:val="00581471"/>
    <w:rsid w:val="00587A1A"/>
    <w:rsid w:val="005B5BE1"/>
    <w:rsid w:val="005C6C8D"/>
    <w:rsid w:val="005C7FF6"/>
    <w:rsid w:val="005D1576"/>
    <w:rsid w:val="005D1C97"/>
    <w:rsid w:val="005D2B2B"/>
    <w:rsid w:val="005D416B"/>
    <w:rsid w:val="005F53EC"/>
    <w:rsid w:val="00602537"/>
    <w:rsid w:val="00603E30"/>
    <w:rsid w:val="00612364"/>
    <w:rsid w:val="00617705"/>
    <w:rsid w:val="00617E69"/>
    <w:rsid w:val="0063097D"/>
    <w:rsid w:val="00633E6A"/>
    <w:rsid w:val="00642831"/>
    <w:rsid w:val="006626C4"/>
    <w:rsid w:val="00667877"/>
    <w:rsid w:val="0068250A"/>
    <w:rsid w:val="0068295E"/>
    <w:rsid w:val="0068522B"/>
    <w:rsid w:val="006E3A77"/>
    <w:rsid w:val="006E427D"/>
    <w:rsid w:val="006F51F4"/>
    <w:rsid w:val="006F6AFE"/>
    <w:rsid w:val="007027CF"/>
    <w:rsid w:val="00710C3A"/>
    <w:rsid w:val="00712356"/>
    <w:rsid w:val="00714C3A"/>
    <w:rsid w:val="00715474"/>
    <w:rsid w:val="0071595B"/>
    <w:rsid w:val="00723333"/>
    <w:rsid w:val="00734450"/>
    <w:rsid w:val="00734EC1"/>
    <w:rsid w:val="0074302A"/>
    <w:rsid w:val="007601D0"/>
    <w:rsid w:val="007608A9"/>
    <w:rsid w:val="00764011"/>
    <w:rsid w:val="00770826"/>
    <w:rsid w:val="00774C6B"/>
    <w:rsid w:val="00775B1A"/>
    <w:rsid w:val="00781149"/>
    <w:rsid w:val="00794904"/>
    <w:rsid w:val="0079495F"/>
    <w:rsid w:val="007972D6"/>
    <w:rsid w:val="007A3641"/>
    <w:rsid w:val="007B6EA3"/>
    <w:rsid w:val="007C1BCF"/>
    <w:rsid w:val="007E0391"/>
    <w:rsid w:val="007E197D"/>
    <w:rsid w:val="007E597C"/>
    <w:rsid w:val="007E67B9"/>
    <w:rsid w:val="007E7088"/>
    <w:rsid w:val="008118D4"/>
    <w:rsid w:val="0082390C"/>
    <w:rsid w:val="00844A1E"/>
    <w:rsid w:val="00854EB0"/>
    <w:rsid w:val="00861144"/>
    <w:rsid w:val="00870C44"/>
    <w:rsid w:val="00882F57"/>
    <w:rsid w:val="008A00D2"/>
    <w:rsid w:val="008B1D2B"/>
    <w:rsid w:val="008C36E1"/>
    <w:rsid w:val="008C4A49"/>
    <w:rsid w:val="008C4D44"/>
    <w:rsid w:val="008C7469"/>
    <w:rsid w:val="008F0886"/>
    <w:rsid w:val="008F0FD9"/>
    <w:rsid w:val="008F281D"/>
    <w:rsid w:val="0091025C"/>
    <w:rsid w:val="00932EC6"/>
    <w:rsid w:val="00940781"/>
    <w:rsid w:val="0095235B"/>
    <w:rsid w:val="00953BEB"/>
    <w:rsid w:val="00956A46"/>
    <w:rsid w:val="00957AEA"/>
    <w:rsid w:val="00976958"/>
    <w:rsid w:val="0098467F"/>
    <w:rsid w:val="0098571C"/>
    <w:rsid w:val="009951A2"/>
    <w:rsid w:val="009A6B87"/>
    <w:rsid w:val="009B295F"/>
    <w:rsid w:val="009B77AC"/>
    <w:rsid w:val="009C1AE7"/>
    <w:rsid w:val="009C7A79"/>
    <w:rsid w:val="009E2CE7"/>
    <w:rsid w:val="009F6F4D"/>
    <w:rsid w:val="009F7A3E"/>
    <w:rsid w:val="00A016D5"/>
    <w:rsid w:val="00A122C3"/>
    <w:rsid w:val="00A16961"/>
    <w:rsid w:val="00A25F7F"/>
    <w:rsid w:val="00A36782"/>
    <w:rsid w:val="00A3706D"/>
    <w:rsid w:val="00A44041"/>
    <w:rsid w:val="00A51A59"/>
    <w:rsid w:val="00A51AA2"/>
    <w:rsid w:val="00A56311"/>
    <w:rsid w:val="00A61325"/>
    <w:rsid w:val="00A61B12"/>
    <w:rsid w:val="00A94A73"/>
    <w:rsid w:val="00AA436D"/>
    <w:rsid w:val="00AA60C7"/>
    <w:rsid w:val="00AA7597"/>
    <w:rsid w:val="00AB7689"/>
    <w:rsid w:val="00AB7CFA"/>
    <w:rsid w:val="00AC2552"/>
    <w:rsid w:val="00AC35F7"/>
    <w:rsid w:val="00AD018C"/>
    <w:rsid w:val="00AD2A71"/>
    <w:rsid w:val="00AD7C6E"/>
    <w:rsid w:val="00AE03D7"/>
    <w:rsid w:val="00AE0457"/>
    <w:rsid w:val="00AE4FF5"/>
    <w:rsid w:val="00AE56EB"/>
    <w:rsid w:val="00AF6A39"/>
    <w:rsid w:val="00B5097A"/>
    <w:rsid w:val="00B642BE"/>
    <w:rsid w:val="00B71740"/>
    <w:rsid w:val="00B74055"/>
    <w:rsid w:val="00B92A38"/>
    <w:rsid w:val="00BB13D9"/>
    <w:rsid w:val="00BD473D"/>
    <w:rsid w:val="00BF17A2"/>
    <w:rsid w:val="00BF1D07"/>
    <w:rsid w:val="00BF30D8"/>
    <w:rsid w:val="00BF4E21"/>
    <w:rsid w:val="00C11E88"/>
    <w:rsid w:val="00C53912"/>
    <w:rsid w:val="00C56486"/>
    <w:rsid w:val="00C56E18"/>
    <w:rsid w:val="00C645C7"/>
    <w:rsid w:val="00C71959"/>
    <w:rsid w:val="00C722E3"/>
    <w:rsid w:val="00C74C9E"/>
    <w:rsid w:val="00C77A20"/>
    <w:rsid w:val="00C94A04"/>
    <w:rsid w:val="00CB3559"/>
    <w:rsid w:val="00CC0DA4"/>
    <w:rsid w:val="00CC1D2B"/>
    <w:rsid w:val="00CE1815"/>
    <w:rsid w:val="00CE6293"/>
    <w:rsid w:val="00CE7752"/>
    <w:rsid w:val="00CF2BBC"/>
    <w:rsid w:val="00CF5DC6"/>
    <w:rsid w:val="00D03AF7"/>
    <w:rsid w:val="00D05591"/>
    <w:rsid w:val="00D245EE"/>
    <w:rsid w:val="00D26F6B"/>
    <w:rsid w:val="00D467BD"/>
    <w:rsid w:val="00D52A68"/>
    <w:rsid w:val="00DA071C"/>
    <w:rsid w:val="00DA407F"/>
    <w:rsid w:val="00DE4432"/>
    <w:rsid w:val="00DF4276"/>
    <w:rsid w:val="00E011C0"/>
    <w:rsid w:val="00E03E36"/>
    <w:rsid w:val="00E21AF2"/>
    <w:rsid w:val="00E22D89"/>
    <w:rsid w:val="00E233C0"/>
    <w:rsid w:val="00E2458E"/>
    <w:rsid w:val="00E35E50"/>
    <w:rsid w:val="00E43299"/>
    <w:rsid w:val="00E43CCD"/>
    <w:rsid w:val="00E46FE5"/>
    <w:rsid w:val="00E60B51"/>
    <w:rsid w:val="00E6511F"/>
    <w:rsid w:val="00E70200"/>
    <w:rsid w:val="00E71351"/>
    <w:rsid w:val="00E8505C"/>
    <w:rsid w:val="00EB12FC"/>
    <w:rsid w:val="00EB26E0"/>
    <w:rsid w:val="00EB575D"/>
    <w:rsid w:val="00EC116C"/>
    <w:rsid w:val="00EC4D06"/>
    <w:rsid w:val="00EC7EED"/>
    <w:rsid w:val="00EE69D9"/>
    <w:rsid w:val="00EF5F38"/>
    <w:rsid w:val="00F03587"/>
    <w:rsid w:val="00F05EF5"/>
    <w:rsid w:val="00F072FC"/>
    <w:rsid w:val="00F07BB9"/>
    <w:rsid w:val="00F61C8D"/>
    <w:rsid w:val="00F71901"/>
    <w:rsid w:val="00FB315D"/>
    <w:rsid w:val="00FB58AD"/>
    <w:rsid w:val="00FB79A8"/>
    <w:rsid w:val="00FC5EB3"/>
    <w:rsid w:val="00FD666C"/>
    <w:rsid w:val="00FE4415"/>
    <w:rsid w:val="00FE7EE2"/>
    <w:rsid w:val="00FF144A"/>
    <w:rsid w:val="04AB545C"/>
    <w:rsid w:val="2EF24FF6"/>
    <w:rsid w:val="37E765A7"/>
    <w:rsid w:val="385D7679"/>
    <w:rsid w:val="43B349DE"/>
    <w:rsid w:val="4FAF30CB"/>
    <w:rsid w:val="634C2331"/>
    <w:rsid w:val="79653CD4"/>
    <w:rsid w:val="79A14E5C"/>
    <w:rsid w:val="7DD0400B"/>
    <w:rsid w:val="7EBFF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styleId="9">
    <w:name w:val="List Paragraph"/>
    <w:basedOn w:val="1"/>
    <w:unhideWhenUsed/>
    <w:qFormat/>
    <w:uiPriority w:val="99"/>
    <w:pPr>
      <w:ind w:firstLine="420" w:firstLineChars="200"/>
    </w:pPr>
  </w:style>
  <w:style w:type="character" w:customStyle="1" w:styleId="10">
    <w:name w:val="text_xghhz"/>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F43C15-2345-485C-8268-EC6991DB3FD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1900</Words>
  <Characters>2056</Characters>
  <Lines>17</Lines>
  <Paragraphs>4</Paragraphs>
  <TotalTime>130</TotalTime>
  <ScaleCrop>false</ScaleCrop>
  <LinksUpToDate>false</LinksUpToDate>
  <CharactersWithSpaces>2059</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2025-12-23T10:06:00Z</dcterms:created>
  <dc:creator>Raymond</dc:creator>
  <cp:lastModifiedBy>迦叶</cp:lastModifiedBy>
  <cp:lastPrinted>2026-01-04T15:54:00Z</cp:lastPrinted>
  <dcterms:modified xsi:type="dcterms:W3CDTF">2026-02-04T08:32:49Z</dcterms:modified>
  <dc:title>屯溪区交通运输局2025年度政府信息公开工作年度报告</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428D68A6864A42B3A223F438690426BF_13</vt:lpwstr>
  </property>
  <property fmtid="{D5CDD505-2E9C-101B-9397-08002B2CF9AE}" pid="4" name="KSOTemplateDocerSaveRecord">
    <vt:lpwstr>eyJoZGlkIjoiMTEyODBmMjY2MDg0MjQ4NGVhYTg3Y2UyNTU3YmY3ZjUiLCJ1c2VySWQiOiIyNzQ2MzgwMzgifQ==</vt:lpwstr>
  </property>
</Properties>
</file>