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7F32">
      <w:pPr>
        <w:widowControl/>
        <w:autoSpaceDE w:val="0"/>
        <w:autoSpaceDN w:val="0"/>
        <w:spacing w:line="560" w:lineRule="exact"/>
        <w:jc w:val="both"/>
        <w:rPr>
          <w:rFonts w:hint="eastAsia" w:ascii="方正小标宋_GBK" w:hAnsi="Arial" w:eastAsia="方正小标宋_GBK" w:cs="Arial"/>
          <w:kern w:val="0"/>
          <w:sz w:val="44"/>
          <w:szCs w:val="44"/>
        </w:rPr>
      </w:pPr>
    </w:p>
    <w:p w14:paraId="1E3D6CA3">
      <w:pPr>
        <w:widowControl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文化旅游营销专项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支出绩效评价报告</w:t>
      </w:r>
    </w:p>
    <w:p w14:paraId="32EA1B78">
      <w:pPr>
        <w:widowControl/>
        <w:autoSpaceDE w:val="0"/>
        <w:autoSpaceDN w:val="0"/>
        <w:spacing w:line="560" w:lineRule="exact"/>
        <w:ind w:firstLine="60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</w:pPr>
    </w:p>
    <w:p w14:paraId="36240644">
      <w:pPr>
        <w:widowControl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项目</w:t>
      </w:r>
      <w:r>
        <w:rPr>
          <w:rFonts w:ascii="黑体" w:hAnsi="黑体" w:eastAsia="黑体" w:cs="黑体"/>
          <w:bCs/>
          <w:kern w:val="0"/>
          <w:sz w:val="32"/>
          <w:szCs w:val="32"/>
        </w:rPr>
        <w:t>基本情况</w:t>
      </w:r>
    </w:p>
    <w:p w14:paraId="16585443">
      <w:pPr>
        <w:widowControl/>
        <w:autoSpaceDE w:val="0"/>
        <w:autoSpaceDN w:val="0"/>
        <w:spacing w:line="560" w:lineRule="exact"/>
        <w:ind w:firstLine="643" w:firstLineChars="200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ascii="楷体" w:hAnsi="楷体" w:eastAsia="楷体" w:cs="仿宋_GB2312"/>
          <w:b/>
          <w:kern w:val="0"/>
          <w:sz w:val="32"/>
          <w:szCs w:val="32"/>
        </w:rPr>
        <w:t>（一）项目概况。</w:t>
      </w:r>
    </w:p>
    <w:p w14:paraId="78822C81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树立全域旅游整体营销观念，深化与景区景点、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乡村旅游点、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文旅协会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重点企业等的合作，巩固全域旅游创建成果，统筹全区文化旅游体育资源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开展多样化的营销活动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7C4FE72F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截止评价基准日，实际到位项目资金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万元，资金到位率100%，实际使用资金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万元，资金执行率100%。</w:t>
      </w:r>
    </w:p>
    <w:p w14:paraId="269D9848">
      <w:pPr>
        <w:widowControl/>
        <w:autoSpaceDE w:val="0"/>
        <w:autoSpaceDN w:val="0"/>
        <w:spacing w:line="560" w:lineRule="exact"/>
        <w:ind w:firstLine="643" w:firstLineChars="200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ascii="楷体" w:hAnsi="楷体" w:eastAsia="楷体" w:cs="仿宋_GB2312"/>
          <w:b/>
          <w:kern w:val="0"/>
          <w:sz w:val="32"/>
          <w:szCs w:val="32"/>
        </w:rPr>
        <w:t>（二）项目绩效目标。</w:t>
      </w:r>
    </w:p>
    <w:p w14:paraId="04511EE0"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开展露营节、音乐节、美食节等乡村旅游节庆活动，营造乡村旅游节庆氛围，促进屯溪区乡村旅游发展。在黎阳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in巷、老街等街区举办美食、非遗等主题活动，推动屯溪区夜间经济发展。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</w:rPr>
        <w:t>积极开展融杭接沪活动，巩固与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西湖区、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</w:rPr>
        <w:t>桐庐、建德等杭州都市圈城市的合作，开展旅游资源共建共享、客源互送互通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。202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年开展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eastAsia="zh-CN"/>
        </w:rPr>
        <w:t>了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不少于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场次的文旅营销活动，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促进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了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屯溪文旅品牌形象提升。</w:t>
      </w:r>
    </w:p>
    <w:p w14:paraId="71D9D5A8">
      <w:pPr>
        <w:widowControl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二、绩效评价工作开展情况</w:t>
      </w:r>
    </w:p>
    <w:p w14:paraId="40AFCE32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（一）绩效评价目的、对象和范围。</w:t>
      </w:r>
    </w:p>
    <w:p w14:paraId="6A29F90B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宋体" w:eastAsia="宋体" w:cs="宋体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为规范经费使用，绩效评价工作从产出指标、效益指标、满意度批标三个方面进行评价。</w:t>
      </w:r>
    </w:p>
    <w:p w14:paraId="5913B2BC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（二）绩效评价原则、评价指标体系（附表说明）、评价方法、评价标准等。</w:t>
      </w:r>
    </w:p>
    <w:p w14:paraId="4E8820BD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1、依据年初设定的总体目标进行评价。</w:t>
      </w:r>
    </w:p>
    <w:p w14:paraId="25E073E8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2、为加强项目经费管理，本项目严格按照相关规定要求，对批准的经费支付做好账务设置和账务管理，</w:t>
      </w:r>
    </w:p>
    <w:p w14:paraId="7BC0E2CE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（三）绩效评价工作过程。</w:t>
      </w:r>
    </w:p>
    <w:p w14:paraId="3683D03B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1、产出指标完成情况分析。</w:t>
      </w:r>
    </w:p>
    <w:p w14:paraId="7015EE6B">
      <w:pPr>
        <w:widowControl/>
        <w:autoSpaceDE w:val="0"/>
        <w:autoSpaceDN w:val="0"/>
        <w:spacing w:line="560" w:lineRule="exact"/>
        <w:ind w:firstLine="640" w:firstLineChars="200"/>
        <w:rPr>
          <w:rFonts w:hint="default" w:ascii="Helvetica" w:hAnsi="Helvetica" w:eastAsia="仿宋_GB2312" w:cs="Helvetica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（1）数量指标：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全年文旅营销活动不少于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8场次(全年实际20余场次）。</w:t>
      </w:r>
    </w:p>
    <w:p w14:paraId="08973AA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（2）质量指标：完成预期目标，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已经按照年初既定目标完成，屯溪区文旅资源知名度得到一定提升；</w:t>
      </w:r>
    </w:p>
    <w:p w14:paraId="1DE7959E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（3）时效指标：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年内已完成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文旅资源营销活动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文旅营销项目以及资金执行率均为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100%；</w:t>
      </w:r>
    </w:p>
    <w:p w14:paraId="0816BEDF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（4）成本指标：坚持节约控制成本，在规定成本范围内完成项目。</w:t>
      </w:r>
    </w:p>
    <w:p w14:paraId="14BB22D4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2.效益指标完成情况分析。</w:t>
      </w:r>
    </w:p>
    <w:p w14:paraId="7AF9190D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（1）经济效益：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举办或参加文旅营销活动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积极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推广提高区域知名度，带动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区域经济提升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43BA12E3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（2）社会效益：通过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举办或参加文旅营销活动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，促进文旅市场发展，每年带动文旅市场就业人口；</w:t>
      </w:r>
    </w:p>
    <w:p w14:paraId="5C504A88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（3）生态效益：生态的旅游环境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有效宣传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0D70DE81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（4）可持续影响：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带动区域旅游经济提升。</w:t>
      </w:r>
    </w:p>
    <w:p w14:paraId="26399E1B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3.满意度指标完成情况分析：游客满意度为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</w:t>
      </w:r>
    </w:p>
    <w:p w14:paraId="5B4D046E">
      <w:pPr>
        <w:widowControl/>
        <w:autoSpaceDE w:val="0"/>
        <w:autoSpaceDN w:val="0"/>
        <w:spacing w:line="560" w:lineRule="exact"/>
        <w:ind w:firstLine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三、综合评价情况及评价结论</w:t>
      </w:r>
    </w:p>
    <w:p w14:paraId="13D12A72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此项目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旨在通过举办或参加系列文旅营销活动积极对外宣传屯溪区文化、旅游、体育资源，对提升区域知名度起到推广作用，对提高区域文旅经济起到了推动作用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66DD0DB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经评价分析，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文化旅游营销专项支出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项目绩效评价综合得分为100分，评价等级为“优秀”。</w:t>
      </w:r>
    </w:p>
    <w:p w14:paraId="49261995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黑体" w:eastAsia="仿宋_GB2312" w:cs="黑体"/>
          <w:b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四、绩效评价指标分析</w:t>
      </w:r>
    </w:p>
    <w:p w14:paraId="0DA1BFC9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（一）项目决策情况。</w:t>
      </w:r>
    </w:p>
    <w:p w14:paraId="7344DB88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按照项目实施绩效评价要求，我局每年定期会对项目经费进行绩效自评，填报绩效自评表和自评报告。</w:t>
      </w:r>
    </w:p>
    <w:p w14:paraId="4015712C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过程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情况。</w:t>
      </w:r>
    </w:p>
    <w:p w14:paraId="3945D1B6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在经费使用过程中,严把监督审核关,建立健全内部审批制度，同时定期或不定期对经费使用、管理情况进行检查，基本做到经费的拨付有完整的审批程序和手续，各项制度执行落实较好，经费使用较为安全规范。</w:t>
      </w:r>
    </w:p>
    <w:p w14:paraId="0800F5E1">
      <w:pPr>
        <w:widowControl/>
        <w:autoSpaceDE w:val="0"/>
        <w:autoSpaceDN w:val="0"/>
        <w:spacing w:line="560" w:lineRule="exact"/>
        <w:ind w:firstLine="6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项目产出情况。</w:t>
      </w:r>
    </w:p>
    <w:p w14:paraId="48A74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2024年全年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营销活动场次已完成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20余次。</w:t>
      </w:r>
    </w:p>
    <w:p w14:paraId="30079218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（四）项目效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益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情况。</w:t>
      </w:r>
    </w:p>
    <w:p w14:paraId="6F0BEC75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2024年先后</w:t>
      </w:r>
      <w:r>
        <w:rPr>
          <w:rFonts w:ascii="Times New Roman" w:hAnsi="Times New Roman" w:eastAsia="仿宋_GB2312" w:cs="Times New Roman"/>
          <w:color w:val="1C1B10"/>
          <w:sz w:val="32"/>
          <w:szCs w:val="32"/>
        </w:rPr>
        <w:t>开展</w:t>
      </w:r>
      <w:r>
        <w:rPr>
          <w:rFonts w:ascii="Times New Roman" w:hAnsi="Times New Roman" w:eastAsia="仿宋_GB2312" w:cs="Times New Roman"/>
          <w:sz w:val="32"/>
          <w:szCs w:val="32"/>
        </w:rPr>
        <w:t>“国潮迎新春、梦幻屯溪情”屯溪宠粉免费汉服旅拍、龙年新春汉服沉浸式演绎周等国潮体验活动，增强街区沉浸式互动体验氛围。开展“龙腾三江 欢度元宵”2024屯溪区非遗民俗节暨焰遇·新安江创意城市焰火晚会活动，将民俗踩街与烟花大会相结合，打造屯溪夜间消费新场景。举办端午龙舟文化节、中秋舞龙会、国庆民俗展演等活动，增添街区节日文化氛围。常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态化举办江畔音乐会，打造屯溪音乐会品牌，推进街区主客共享文化空间打造。举办乡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ascii="Times New Roman" w:hAnsi="Times New Roman" w:eastAsia="仿宋_GB2312" w:cs="Times New Roman"/>
          <w:sz w:val="32"/>
          <w:szCs w:val="32"/>
        </w:rPr>
        <w:t>星空露营节、音乐节、后备箱集市等乡村旅游节庆活动，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为乡村旅游集聚人气。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屯溪区2024年旅游接待量同比增长11%；旅游总收入同比增长15%。</w:t>
      </w:r>
    </w:p>
    <w:p w14:paraId="3DD83D6C">
      <w:pPr>
        <w:widowControl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</w:t>
      </w:r>
      <w:r>
        <w:rPr>
          <w:rFonts w:ascii="黑体" w:hAnsi="黑体" w:eastAsia="黑体" w:cs="黑体"/>
          <w:bCs/>
          <w:kern w:val="0"/>
          <w:sz w:val="32"/>
          <w:szCs w:val="32"/>
        </w:rPr>
        <w:t>主要经验及做法</w:t>
      </w:r>
    </w:p>
    <w:p w14:paraId="17464768">
      <w:pPr>
        <w:widowControl/>
        <w:autoSpaceDE w:val="0"/>
        <w:autoSpaceDN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通过开展绩效自评和评价,提升了财政支出的科学性、效益性、管理水平的评判水平,进一步建立和完善了项目投资、资金管理等一系列规章制度,有力地推动各部门、各单位对项目的科学论证与规划,健全项目资金的核算与管理制度,促进部门不断完善内部管理,不断提高理财水平。</w:t>
      </w:r>
    </w:p>
    <w:p w14:paraId="262A8686">
      <w:pPr>
        <w:widowControl/>
        <w:numPr>
          <w:ilvl w:val="0"/>
          <w:numId w:val="2"/>
        </w:numPr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存在问题及原因分析</w:t>
      </w:r>
    </w:p>
    <w:p w14:paraId="7D710B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年度绩效目标表数量细化程度不够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实际完成的部分工作未在年度绩效目标表数量目标中体现，绩效目标表做得不够细化，列入绩效目标表的工作目标相对于年度总结来说，范围较小。</w:t>
      </w:r>
    </w:p>
    <w:p w14:paraId="0C79B9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部门绩效评价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的组织管理方面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</w:t>
      </w:r>
      <w:r>
        <w:rPr>
          <w:rFonts w:hint="eastAsia" w:ascii="仿宋_GB2312" w:hAnsi="仿宋_GB2312" w:eastAsia="仿宋_GB2312" w:cs="仿宋_GB2312"/>
          <w:sz w:val="32"/>
          <w:szCs w:val="32"/>
        </w:rPr>
        <w:t>缺乏经验。未建立起相应的流程，方法也较为单一，需要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学习培训。</w:t>
      </w:r>
    </w:p>
    <w:p w14:paraId="74351E00">
      <w:pPr>
        <w:widowControl/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ascii="黑体" w:hAnsi="黑体" w:eastAsia="黑体" w:cs="黑体"/>
          <w:bCs/>
          <w:kern w:val="0"/>
          <w:sz w:val="32"/>
          <w:szCs w:val="32"/>
        </w:rPr>
        <w:t>七、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有关建议</w:t>
      </w:r>
    </w:p>
    <w:p w14:paraId="7AFA233C">
      <w:pPr>
        <w:autoSpaceDE w:val="0"/>
        <w:autoSpaceDN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无。</w:t>
      </w:r>
    </w:p>
    <w:p w14:paraId="1597038C">
      <w:pPr>
        <w:rPr>
          <w:sz w:val="16"/>
          <w:szCs w:val="1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FD34C"/>
    <w:multiLevelType w:val="singleLevel"/>
    <w:tmpl w:val="2F1FD3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B9A363"/>
    <w:multiLevelType w:val="singleLevel"/>
    <w:tmpl w:val="65B9A36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ZDI5ZjRiYWQ4MDZhYzc0MDczZjNmYzExMThmMzYifQ=="/>
  </w:docVars>
  <w:rsids>
    <w:rsidRoot w:val="00172A27"/>
    <w:rsid w:val="000039F1"/>
    <w:rsid w:val="00057769"/>
    <w:rsid w:val="00080BC4"/>
    <w:rsid w:val="00083369"/>
    <w:rsid w:val="00094E8C"/>
    <w:rsid w:val="000A2583"/>
    <w:rsid w:val="001718A2"/>
    <w:rsid w:val="00172CC5"/>
    <w:rsid w:val="00175907"/>
    <w:rsid w:val="001800DD"/>
    <w:rsid w:val="00182DFE"/>
    <w:rsid w:val="0018563B"/>
    <w:rsid w:val="001A7BD8"/>
    <w:rsid w:val="001B10BE"/>
    <w:rsid w:val="001E3D99"/>
    <w:rsid w:val="002024E8"/>
    <w:rsid w:val="002139A9"/>
    <w:rsid w:val="00244D7B"/>
    <w:rsid w:val="002874A1"/>
    <w:rsid w:val="002F3D0B"/>
    <w:rsid w:val="003011CD"/>
    <w:rsid w:val="0030322E"/>
    <w:rsid w:val="003328D3"/>
    <w:rsid w:val="00366AFA"/>
    <w:rsid w:val="003709DB"/>
    <w:rsid w:val="003A399D"/>
    <w:rsid w:val="003B2F83"/>
    <w:rsid w:val="003B55CA"/>
    <w:rsid w:val="003E3CB6"/>
    <w:rsid w:val="0040131F"/>
    <w:rsid w:val="0041105A"/>
    <w:rsid w:val="00422BBB"/>
    <w:rsid w:val="00456ACF"/>
    <w:rsid w:val="004674C3"/>
    <w:rsid w:val="00467FF4"/>
    <w:rsid w:val="004D7754"/>
    <w:rsid w:val="005058F3"/>
    <w:rsid w:val="00511D9E"/>
    <w:rsid w:val="00520E20"/>
    <w:rsid w:val="00523A39"/>
    <w:rsid w:val="005447B1"/>
    <w:rsid w:val="005473C9"/>
    <w:rsid w:val="00585334"/>
    <w:rsid w:val="0059501B"/>
    <w:rsid w:val="005F526E"/>
    <w:rsid w:val="00660A2C"/>
    <w:rsid w:val="006C0F71"/>
    <w:rsid w:val="006D5EE3"/>
    <w:rsid w:val="006F3F1B"/>
    <w:rsid w:val="00744843"/>
    <w:rsid w:val="00782930"/>
    <w:rsid w:val="007F5ABC"/>
    <w:rsid w:val="00807BD5"/>
    <w:rsid w:val="008230BB"/>
    <w:rsid w:val="00867469"/>
    <w:rsid w:val="00884623"/>
    <w:rsid w:val="00884B83"/>
    <w:rsid w:val="008A05BB"/>
    <w:rsid w:val="008A23D6"/>
    <w:rsid w:val="008B4755"/>
    <w:rsid w:val="008D3FEB"/>
    <w:rsid w:val="008F07C2"/>
    <w:rsid w:val="00914B74"/>
    <w:rsid w:val="00974345"/>
    <w:rsid w:val="009B0CFE"/>
    <w:rsid w:val="009C7239"/>
    <w:rsid w:val="009E0686"/>
    <w:rsid w:val="009F5516"/>
    <w:rsid w:val="00A07F4F"/>
    <w:rsid w:val="00A35465"/>
    <w:rsid w:val="00A35552"/>
    <w:rsid w:val="00A7531E"/>
    <w:rsid w:val="00A97992"/>
    <w:rsid w:val="00B01476"/>
    <w:rsid w:val="00B535ED"/>
    <w:rsid w:val="00B94A09"/>
    <w:rsid w:val="00B95C81"/>
    <w:rsid w:val="00C27AEF"/>
    <w:rsid w:val="00C3014F"/>
    <w:rsid w:val="00C3467E"/>
    <w:rsid w:val="00CA1D03"/>
    <w:rsid w:val="00CF5C18"/>
    <w:rsid w:val="00D11C69"/>
    <w:rsid w:val="00D53686"/>
    <w:rsid w:val="00D60C23"/>
    <w:rsid w:val="00D950C6"/>
    <w:rsid w:val="00DC43EA"/>
    <w:rsid w:val="00DC7420"/>
    <w:rsid w:val="00DD3254"/>
    <w:rsid w:val="00E03CE8"/>
    <w:rsid w:val="00E11FDE"/>
    <w:rsid w:val="00E41DAC"/>
    <w:rsid w:val="00E65B8C"/>
    <w:rsid w:val="00E75B18"/>
    <w:rsid w:val="00EA266E"/>
    <w:rsid w:val="00EA64D0"/>
    <w:rsid w:val="00EB408B"/>
    <w:rsid w:val="00ED48D6"/>
    <w:rsid w:val="00EE0001"/>
    <w:rsid w:val="00EF7C24"/>
    <w:rsid w:val="00F40715"/>
    <w:rsid w:val="00F41D4D"/>
    <w:rsid w:val="00F9391F"/>
    <w:rsid w:val="00FA0A3A"/>
    <w:rsid w:val="00FB76A1"/>
    <w:rsid w:val="00FE458D"/>
    <w:rsid w:val="04F36DA3"/>
    <w:rsid w:val="09823E5E"/>
    <w:rsid w:val="0E5D3895"/>
    <w:rsid w:val="11914BD6"/>
    <w:rsid w:val="119837D4"/>
    <w:rsid w:val="1635323A"/>
    <w:rsid w:val="16CA3775"/>
    <w:rsid w:val="1D9875EB"/>
    <w:rsid w:val="232F744B"/>
    <w:rsid w:val="24491EB1"/>
    <w:rsid w:val="24B06041"/>
    <w:rsid w:val="29A71DA3"/>
    <w:rsid w:val="2CBE7EB7"/>
    <w:rsid w:val="3A5943A8"/>
    <w:rsid w:val="3C113545"/>
    <w:rsid w:val="43661935"/>
    <w:rsid w:val="446B7040"/>
    <w:rsid w:val="49757C48"/>
    <w:rsid w:val="55393E6B"/>
    <w:rsid w:val="5BF45B3A"/>
    <w:rsid w:val="5DF72F18"/>
    <w:rsid w:val="70E551DD"/>
    <w:rsid w:val="72765A47"/>
    <w:rsid w:val="78A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6DC1-F1B2-4B25-A357-1D21AE3B15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553</Words>
  <Characters>567</Characters>
  <Lines>173</Lines>
  <Paragraphs>48</Paragraphs>
  <TotalTime>0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2023-09-11T12:44:00Z</dcterms:created>
  <dc:creator>Microsoft</dc:creator>
  <cp:lastModifiedBy>尔玉</cp:lastModifiedBy>
  <cp:lastPrinted>2024-09-25T08:06:00Z</cp:lastPrinted>
  <dcterms:modified xsi:type="dcterms:W3CDTF">2025-09-24T03:03:27Z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B33969D4330B4E9DA59283D34D889DAC_13</vt:lpwstr>
  </property>
  <property fmtid="{D5CDD505-2E9C-101B-9397-08002B2CF9AE}" pid="4" name="KSOTemplateDocerSaveRecord">
    <vt:lpwstr>eyJoZGlkIjoiZmY5ZmEyYzY3ZWYzZWJmZmNhOTc4ZjQ2Y2Q3NjA3ZTIiLCJ1c2VySWQiOiIzMjQ5MDYwMDkifQ==</vt:lpwstr>
  </property>
</Properties>
</file>