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32"/>
          <w:szCs w:val="32"/>
        </w:rPr>
      </w:pPr>
    </w:p>
    <w:p>
      <w:pPr>
        <w:rPr>
          <w:rFonts w:ascii="仿宋_GB2312" w:eastAsia="仿宋_GB2312"/>
          <w:b/>
          <w:color w:val="000000"/>
          <w:sz w:val="32"/>
          <w:szCs w:val="32"/>
        </w:rPr>
      </w:pPr>
    </w:p>
    <w:p>
      <w:pPr>
        <w:jc w:val="center"/>
        <w:rPr>
          <w:rFonts w:ascii="宋体" w:hAnsi="宋体" w:cs="宋体"/>
          <w:b/>
          <w:sz w:val="44"/>
        </w:rPr>
      </w:pPr>
      <w:r>
        <w:rPr>
          <w:rFonts w:hint="eastAsia" w:ascii="宋体" w:hAnsi="宋体" w:cs="宋体"/>
          <w:b/>
          <w:sz w:val="44"/>
        </w:rPr>
        <w:t>企业退休人员社会化管理专项经费</w:t>
      </w:r>
    </w:p>
    <w:p>
      <w:pPr>
        <w:jc w:val="center"/>
        <w:rPr>
          <w:rFonts w:ascii="宋体" w:hAnsi="宋体" w:cs="宋体"/>
          <w:b/>
          <w:sz w:val="44"/>
        </w:rPr>
      </w:pPr>
      <w:r>
        <w:rPr>
          <w:rFonts w:hint="eastAsia" w:ascii="宋体" w:hAnsi="宋体" w:cs="宋体"/>
          <w:b/>
          <w:sz w:val="44"/>
        </w:rPr>
        <w:t>绩效评价报告</w:t>
      </w:r>
    </w:p>
    <w:p>
      <w:pPr>
        <w:jc w:val="center"/>
        <w:rPr>
          <w:rFonts w:ascii="仿宋_GB2312" w:hAnsi="仿宋_GB2312" w:eastAsia="仿宋_GB2312" w:cs="仿宋_GB2312"/>
          <w:sz w:val="32"/>
        </w:rPr>
      </w:pPr>
      <w:r>
        <w:rPr>
          <w:rFonts w:ascii="宋体" w:hAnsi="宋体" w:cs="宋体"/>
          <w:sz w:val="28"/>
          <w:szCs w:val="24"/>
        </w:rPr>
        <w:t>皖华徽会评字（</w:t>
      </w:r>
      <w:r>
        <w:rPr>
          <w:rFonts w:ascii="仿宋_GB2312" w:hAnsi="仿宋_GB2312" w:eastAsia="仿宋_GB2312" w:cs="仿宋_GB2312"/>
          <w:sz w:val="28"/>
          <w:szCs w:val="24"/>
        </w:rPr>
        <w:t>202</w:t>
      </w:r>
      <w:r>
        <w:rPr>
          <w:rFonts w:hint="eastAsia" w:ascii="仿宋_GB2312" w:hAnsi="仿宋_GB2312" w:eastAsia="仿宋_GB2312" w:cs="仿宋_GB2312"/>
          <w:sz w:val="28"/>
          <w:szCs w:val="24"/>
        </w:rPr>
        <w:t>5</w:t>
      </w:r>
      <w:r>
        <w:rPr>
          <w:rFonts w:ascii="宋体" w:hAnsi="宋体" w:cs="宋体"/>
          <w:sz w:val="28"/>
          <w:szCs w:val="24"/>
        </w:rPr>
        <w:t>）第</w:t>
      </w:r>
      <w:r>
        <w:rPr>
          <w:rFonts w:hint="eastAsia" w:ascii="仿宋_GB2312" w:hAnsi="仿宋_GB2312" w:eastAsia="仿宋_GB2312" w:cs="仿宋_GB2312"/>
          <w:sz w:val="28"/>
          <w:szCs w:val="24"/>
          <w:lang w:val="en-US" w:eastAsia="zh-CN"/>
        </w:rPr>
        <w:t>405</w:t>
      </w:r>
      <w:r>
        <w:rPr>
          <w:rFonts w:ascii="宋体" w:hAnsi="宋体" w:cs="宋体"/>
          <w:sz w:val="28"/>
          <w:szCs w:val="24"/>
        </w:rPr>
        <w:t>号</w:t>
      </w:r>
      <w:r>
        <w:rPr>
          <w:rFonts w:hint="eastAsia" w:ascii="仿宋_GB2312" w:hAnsi="仿宋_GB2312" w:eastAsia="仿宋_GB2312" w:cs="仿宋_GB2312"/>
          <w:sz w:val="44"/>
          <w:szCs w:val="24"/>
        </w:rPr>
        <w:t xml:space="preserve">   </w:t>
      </w:r>
      <w:r>
        <w:rPr>
          <w:rFonts w:hint="eastAsia" w:ascii="仿宋_GB2312" w:hAnsi="仿宋_GB2312" w:eastAsia="仿宋_GB2312" w:cs="仿宋_GB2312"/>
          <w:sz w:val="32"/>
        </w:rPr>
        <w:t xml:space="preserve">  </w:t>
      </w:r>
    </w:p>
    <w:p>
      <w:pPr>
        <w:jc w:val="center"/>
        <w:rPr>
          <w:rFonts w:ascii="仿宋_GB2312" w:hAnsi="仿宋_GB2312" w:eastAsia="仿宋_GB2312" w:cs="仿宋_GB2312"/>
        </w:rPr>
      </w:pPr>
      <w:r>
        <w:rPr>
          <w:rFonts w:hint="eastAsia"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bookmarkStart w:id="0" w:name="_GoBack"/>
      <w:bookmarkEnd w:id="0"/>
      <w:r>
        <w:rPr>
          <w:rFonts w:hint="eastAsia" w:ascii="仿宋_GB2312" w:hAnsi="仿宋" w:eastAsia="仿宋_GB2312" w:cs="宋体"/>
          <w:color w:val="000000"/>
          <w:sz w:val="32"/>
          <w:szCs w:val="32"/>
        </w:rPr>
        <w:t>为落实全面实施绩效管理，建立健全政府绩效管理机制，强化支出责任，提高资金使用绩效要求，安徽华徽会计师事务所接受黄山市屯溪区社会保险管理中心（以下简称“区社保中心”）委托，成立评价组，于2025年6月对2024年度黄山市屯溪区企业退休人员社会化管理专项经费（以下简称“企业退管费项目”）进行绩效评价工作。现将评价情况报告如下：</w:t>
      </w:r>
    </w:p>
    <w:p>
      <w:pPr>
        <w:ind w:firstLine="643" w:firstLineChars="200"/>
        <w:rPr>
          <w:rFonts w:ascii="仿宋_GB2312" w:hAnsi="仿宋" w:eastAsia="仿宋_GB2312" w:cs="黑体"/>
          <w:sz w:val="32"/>
          <w:szCs w:val="32"/>
        </w:rPr>
      </w:pPr>
      <w:r>
        <w:rPr>
          <w:rFonts w:hint="eastAsia" w:ascii="仿宋_GB2312" w:hAnsi="仿宋" w:eastAsia="仿宋_GB2312" w:cs="黑体"/>
          <w:b/>
          <w:sz w:val="32"/>
          <w:szCs w:val="32"/>
        </w:rPr>
        <w:t>一、项目基本情况</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（一）项目背景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企业退休人员社会化管理，是指企业职工办理退休手续后，退休人员的日常管理服务工作与原企业分离，个人养老金实行社会化发放，人员移交所在地的区县、城镇街道或社区实行属地化管理，由社区服务组织提供相应的管理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为进一步加强和规范屯溪区企业退休人员社会化管理服务工作，根据《关于核拨企业退休人员社会化管理服务专项经费有关问题的通知》（黄劳社秘〔2006〕23号），区社保中心申报“企业退休人员社会化管理专项经费”项目。</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（二）项目实施情况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企业退休人员社会化管理工作主要包括养老保险待遇领取资格认证、社会保险相关政策的咨询和查询服务、遗属丧抚补助金等社会保险相关业务的办理、退休人员档案管理、开展走访和节日慰问工作、组织和引导退休人员开展文体健身、组织社会公益活动以及对企业退休人员进行慰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目前，屯溪区企业退休人员社会化管理工作主要依托社区进行，区本级财政安排项目资金，保障企业退休人员社会化管理工作良性运转。2024年预算安排30万元，预算执行30万元，执行率100%。2024年项目预算主要用于区社保中心社会化管理工作业务人员工资及福利以及按退休人员分布情况拨付各社区用于企业退休人员社会化管理工作费用。</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（三）项目绩效目标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1.项目绩效总体目标。通过开展企业退休人员社会化管理工作，实现企业退休人员社会化管理，切实提升退休人员属地管理的满意度和幸福感。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项目绩效阶段性目标。保障全区15000余名企业退休人员工资档案管理；协助企业退休人员养老保险待遇领取资格认证，确保退休人员待遇按时足额发放；宣传社会保险政策；开展走访和节日慰问工作、开展社会公益活动等。</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二、绩效评价工作开展情况</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（一）绩效评价目的、对象和范围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绩效评价目的。通过开展绩效评价，了解项目实施情况及实施成果和效果、资金管理和使用情况及企业退休人员满意度等，总结项目实施及管理经验，同时将绩效评价结果与项目预算挂钩，为下年度我区的企业退休人员社会化管理专项资金的使用提供决策参考，进一步提高专项资金的使用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2.评价对象和范围。主要对区社保中心2024年度企业退休人员社会化管理专项经费的使用及达到的绩效目标情况。</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（二）评价方法选择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在评价工作开展过程中运用的方法主要有：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1.比较分析法。通过实地走访项目实施单位，详细了解项目的具体情况，并依据了解到的情况和取得的项目文件对该项目作出评分。评价组在评分过程中，通过比较绩效目标与实施效果，确定项目绩效目标的实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因素分析法。通过综合分析影响绩效目标实现、实施效果的内外因素，评价绩效目标的实现程度。本次绩效评价主要从项目立项、绩效目标、资金投入、业务管理、财务管理、产出情况及项目效益等因素进行分析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3.公众评判法。通过对受益对象发放调查问卷的方式，获取受益对象对项目满意度的评价资料，从而对该项目的满意度进行评价。</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（三）绩效评价工作过程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本次绩效评价工</w:t>
      </w:r>
      <w:r>
        <w:rPr>
          <w:rFonts w:hint="eastAsia" w:ascii="仿宋_GB2312" w:hAnsi="仿宋" w:eastAsia="仿宋_GB2312" w:cs="宋体"/>
          <w:color w:val="000000"/>
          <w:sz w:val="32"/>
          <w:szCs w:val="32"/>
          <w:lang w:eastAsia="zh-CN"/>
        </w:rPr>
        <w:t>作</w:t>
      </w:r>
      <w:r>
        <w:rPr>
          <w:rFonts w:hint="eastAsia" w:ascii="仿宋_GB2312" w:hAnsi="仿宋" w:eastAsia="仿宋_GB2312" w:cs="宋体"/>
          <w:color w:val="000000"/>
          <w:sz w:val="32"/>
          <w:szCs w:val="32"/>
        </w:rPr>
        <w:t>在区人社局统一领导下，由区社保中心</w:t>
      </w:r>
      <w:r>
        <w:rPr>
          <w:rFonts w:hint="eastAsia" w:ascii="仿宋_GB2312" w:hAnsi="仿宋" w:eastAsia="仿宋_GB2312" w:cs="宋体"/>
          <w:color w:val="000000"/>
          <w:sz w:val="32"/>
          <w:szCs w:val="32"/>
          <w:lang w:eastAsia="zh-CN"/>
        </w:rPr>
        <w:t>基金管理</w:t>
      </w:r>
      <w:r>
        <w:rPr>
          <w:rFonts w:hint="eastAsia" w:ascii="仿宋_GB2312" w:hAnsi="仿宋" w:eastAsia="仿宋_GB2312" w:cs="宋体"/>
          <w:color w:val="000000"/>
          <w:sz w:val="32"/>
          <w:szCs w:val="32"/>
        </w:rPr>
        <w:t>股牵头组织，委托安徽华徽会计师事务所具体实施。评价工作分为前期准备、资料审阅、现场走访调查、数据分析汇总、撰写报告及资料归档。评价组根据企业退管费项目绩效目标，结合区社保中心及各社区开展的工作，围绕企业退管费项目资金的使用，对企业退管费项目开展绩效评价工作。</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三、绩效评价结论及绩效评价指标分析</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（一）绩效评价结论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按照本项目绩效评价工作确定的绩效评价指标、评价标准和评价方法，在对评价对象的绩效情况进行定量和定性分析的基础上，经综合评价，本项目得分为9</w:t>
      </w:r>
      <w:r>
        <w:rPr>
          <w:rFonts w:hint="eastAsia" w:ascii="仿宋_GB2312" w:hAnsi="仿宋" w:eastAsia="仿宋_GB2312" w:cs="宋体"/>
          <w:color w:val="000000"/>
          <w:sz w:val="32"/>
          <w:szCs w:val="32"/>
          <w:lang w:val="en-US" w:eastAsia="zh-CN"/>
        </w:rPr>
        <w:t>3</w:t>
      </w:r>
      <w:r>
        <w:rPr>
          <w:rFonts w:hint="eastAsia" w:ascii="仿宋_GB2312" w:hAnsi="仿宋" w:eastAsia="仿宋_GB2312" w:cs="宋体"/>
          <w:color w:val="000000"/>
          <w:sz w:val="32"/>
          <w:szCs w:val="32"/>
        </w:rPr>
        <w:t>分，绩效评价等级为优。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230"/>
        <w:gridCol w:w="1453"/>
        <w:gridCol w:w="1453"/>
        <w:gridCol w:w="145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jc w:val="center"/>
              <w:rPr>
                <w:rFonts w:ascii="仿宋_GB2312" w:hAnsi="仿宋" w:eastAsia="仿宋_GB2312" w:cs="宋体"/>
                <w:sz w:val="32"/>
                <w:szCs w:val="32"/>
              </w:rPr>
            </w:pPr>
            <w:r>
              <w:rPr>
                <w:rFonts w:hint="eastAsia" w:ascii="仿宋_GB2312" w:hAnsi="仿宋" w:eastAsia="仿宋_GB2312" w:cs="宋体"/>
                <w:sz w:val="32"/>
                <w:szCs w:val="32"/>
              </w:rPr>
              <w:t>名称</w:t>
            </w:r>
          </w:p>
        </w:tc>
        <w:tc>
          <w:tcPr>
            <w:tcW w:w="1230" w:type="dxa"/>
          </w:tcPr>
          <w:p>
            <w:pPr>
              <w:jc w:val="center"/>
              <w:rPr>
                <w:rFonts w:ascii="仿宋_GB2312" w:hAnsi="仿宋" w:eastAsia="仿宋_GB2312" w:cs="宋体"/>
                <w:sz w:val="32"/>
                <w:szCs w:val="32"/>
              </w:rPr>
            </w:pPr>
            <w:r>
              <w:rPr>
                <w:rFonts w:hint="eastAsia" w:ascii="仿宋_GB2312" w:hAnsi="仿宋" w:eastAsia="仿宋_GB2312" w:cs="宋体"/>
                <w:sz w:val="32"/>
                <w:szCs w:val="32"/>
              </w:rPr>
              <w:t>投入</w:t>
            </w:r>
          </w:p>
        </w:tc>
        <w:tc>
          <w:tcPr>
            <w:tcW w:w="1453" w:type="dxa"/>
          </w:tcPr>
          <w:p>
            <w:pPr>
              <w:jc w:val="center"/>
              <w:rPr>
                <w:rFonts w:ascii="仿宋_GB2312" w:hAnsi="仿宋" w:eastAsia="仿宋_GB2312" w:cs="宋体"/>
                <w:sz w:val="32"/>
                <w:szCs w:val="32"/>
              </w:rPr>
            </w:pPr>
            <w:r>
              <w:rPr>
                <w:rFonts w:hint="eastAsia" w:ascii="仿宋_GB2312" w:hAnsi="仿宋" w:eastAsia="仿宋_GB2312" w:cs="宋体"/>
                <w:sz w:val="32"/>
                <w:szCs w:val="32"/>
              </w:rPr>
              <w:t>过程</w:t>
            </w:r>
          </w:p>
        </w:tc>
        <w:tc>
          <w:tcPr>
            <w:tcW w:w="1453" w:type="dxa"/>
          </w:tcPr>
          <w:p>
            <w:pPr>
              <w:jc w:val="center"/>
              <w:rPr>
                <w:rFonts w:ascii="仿宋_GB2312" w:hAnsi="仿宋" w:eastAsia="仿宋_GB2312" w:cs="宋体"/>
                <w:sz w:val="32"/>
                <w:szCs w:val="32"/>
              </w:rPr>
            </w:pPr>
            <w:r>
              <w:rPr>
                <w:rFonts w:hint="eastAsia" w:ascii="仿宋_GB2312" w:hAnsi="仿宋" w:eastAsia="仿宋_GB2312" w:cs="宋体"/>
                <w:sz w:val="32"/>
                <w:szCs w:val="32"/>
              </w:rPr>
              <w:t>产出</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效果</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jc w:val="center"/>
              <w:rPr>
                <w:rFonts w:ascii="仿宋_GB2312" w:hAnsi="仿宋" w:eastAsia="仿宋_GB2312" w:cs="宋体"/>
                <w:sz w:val="32"/>
                <w:szCs w:val="32"/>
              </w:rPr>
            </w:pPr>
            <w:r>
              <w:rPr>
                <w:rFonts w:hint="eastAsia" w:ascii="仿宋_GB2312" w:hAnsi="仿宋" w:eastAsia="仿宋_GB2312" w:cs="宋体"/>
                <w:sz w:val="32"/>
                <w:szCs w:val="32"/>
              </w:rPr>
              <w:t>指标分值</w:t>
            </w:r>
          </w:p>
        </w:tc>
        <w:tc>
          <w:tcPr>
            <w:tcW w:w="1230" w:type="dxa"/>
          </w:tcPr>
          <w:p>
            <w:pPr>
              <w:jc w:val="center"/>
              <w:rPr>
                <w:rFonts w:ascii="仿宋_GB2312" w:hAnsi="仿宋" w:eastAsia="仿宋_GB2312" w:cs="宋体"/>
                <w:sz w:val="32"/>
                <w:szCs w:val="32"/>
              </w:rPr>
            </w:pPr>
            <w:r>
              <w:rPr>
                <w:rFonts w:hint="eastAsia" w:ascii="仿宋_GB2312" w:hAnsi="仿宋" w:eastAsia="仿宋_GB2312" w:cs="宋体"/>
                <w:sz w:val="32"/>
                <w:szCs w:val="32"/>
              </w:rPr>
              <w:t>13</w:t>
            </w:r>
          </w:p>
        </w:tc>
        <w:tc>
          <w:tcPr>
            <w:tcW w:w="1453" w:type="dxa"/>
          </w:tcPr>
          <w:p>
            <w:pPr>
              <w:jc w:val="center"/>
              <w:rPr>
                <w:rFonts w:hint="default"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29</w:t>
            </w:r>
          </w:p>
        </w:tc>
        <w:tc>
          <w:tcPr>
            <w:tcW w:w="1453" w:type="dxa"/>
          </w:tcPr>
          <w:p>
            <w:pPr>
              <w:jc w:val="center"/>
              <w:rPr>
                <w:rFonts w:hint="eastAsia" w:ascii="仿宋_GB2312" w:hAnsi="仿宋" w:eastAsia="仿宋_GB2312" w:cs="宋体"/>
                <w:sz w:val="32"/>
                <w:szCs w:val="32"/>
                <w:lang w:eastAsia="zh-CN"/>
              </w:rPr>
            </w:pPr>
            <w:r>
              <w:rPr>
                <w:rFonts w:hint="eastAsia" w:ascii="仿宋_GB2312" w:hAnsi="仿宋" w:eastAsia="仿宋_GB2312" w:cs="宋体"/>
                <w:sz w:val="32"/>
                <w:szCs w:val="32"/>
              </w:rPr>
              <w:t>2</w:t>
            </w:r>
            <w:r>
              <w:rPr>
                <w:rFonts w:hint="eastAsia" w:ascii="仿宋_GB2312" w:hAnsi="仿宋" w:eastAsia="仿宋_GB2312" w:cs="宋体"/>
                <w:sz w:val="32"/>
                <w:szCs w:val="32"/>
                <w:lang w:val="en-US" w:eastAsia="zh-CN"/>
              </w:rPr>
              <w:t>8</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30</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jc w:val="center"/>
              <w:rPr>
                <w:rFonts w:ascii="仿宋_GB2312" w:hAnsi="仿宋" w:eastAsia="仿宋_GB2312" w:cs="宋体"/>
                <w:sz w:val="32"/>
                <w:szCs w:val="32"/>
              </w:rPr>
            </w:pPr>
            <w:r>
              <w:rPr>
                <w:rFonts w:hint="eastAsia" w:ascii="仿宋_GB2312" w:hAnsi="仿宋" w:eastAsia="仿宋_GB2312" w:cs="宋体"/>
                <w:sz w:val="32"/>
                <w:szCs w:val="32"/>
              </w:rPr>
              <w:t>评价得分</w:t>
            </w:r>
          </w:p>
        </w:tc>
        <w:tc>
          <w:tcPr>
            <w:tcW w:w="1230" w:type="dxa"/>
          </w:tcPr>
          <w:p>
            <w:pPr>
              <w:jc w:val="center"/>
              <w:rPr>
                <w:rFonts w:ascii="仿宋_GB2312" w:hAnsi="仿宋" w:eastAsia="仿宋_GB2312" w:cs="宋体"/>
                <w:sz w:val="32"/>
                <w:szCs w:val="32"/>
              </w:rPr>
            </w:pPr>
            <w:r>
              <w:rPr>
                <w:rFonts w:hint="eastAsia" w:ascii="仿宋_GB2312" w:hAnsi="仿宋" w:eastAsia="仿宋_GB2312" w:cs="宋体"/>
                <w:sz w:val="32"/>
                <w:szCs w:val="32"/>
              </w:rPr>
              <w:t>12</w:t>
            </w:r>
          </w:p>
        </w:tc>
        <w:tc>
          <w:tcPr>
            <w:tcW w:w="1453" w:type="dxa"/>
          </w:tcPr>
          <w:p>
            <w:pPr>
              <w:jc w:val="center"/>
              <w:rPr>
                <w:rFonts w:hint="eastAsia" w:ascii="仿宋_GB2312" w:hAnsi="仿宋" w:eastAsia="仿宋_GB2312" w:cs="宋体"/>
                <w:sz w:val="32"/>
                <w:szCs w:val="32"/>
                <w:lang w:eastAsia="zh-CN"/>
              </w:rPr>
            </w:pPr>
            <w:r>
              <w:rPr>
                <w:rFonts w:hint="eastAsia" w:ascii="仿宋_GB2312" w:hAnsi="仿宋" w:eastAsia="仿宋_GB2312" w:cs="宋体"/>
                <w:sz w:val="32"/>
                <w:szCs w:val="32"/>
              </w:rPr>
              <w:t>2</w:t>
            </w:r>
            <w:r>
              <w:rPr>
                <w:rFonts w:hint="eastAsia" w:ascii="仿宋_GB2312" w:hAnsi="仿宋" w:eastAsia="仿宋_GB2312" w:cs="宋体"/>
                <w:sz w:val="32"/>
                <w:szCs w:val="32"/>
                <w:lang w:val="en-US" w:eastAsia="zh-CN"/>
              </w:rPr>
              <w:t>9</w:t>
            </w:r>
          </w:p>
        </w:tc>
        <w:tc>
          <w:tcPr>
            <w:tcW w:w="1453" w:type="dxa"/>
          </w:tcPr>
          <w:p>
            <w:pPr>
              <w:jc w:val="center"/>
              <w:rPr>
                <w:rFonts w:hint="eastAsia" w:ascii="仿宋_GB2312" w:hAnsi="仿宋" w:eastAsia="仿宋_GB2312" w:cs="宋体"/>
                <w:sz w:val="32"/>
                <w:szCs w:val="32"/>
                <w:lang w:eastAsia="zh-CN"/>
              </w:rPr>
            </w:pPr>
            <w:r>
              <w:rPr>
                <w:rFonts w:hint="eastAsia" w:ascii="仿宋_GB2312" w:hAnsi="仿宋" w:eastAsia="仿宋_GB2312" w:cs="宋体"/>
                <w:sz w:val="32"/>
                <w:szCs w:val="32"/>
              </w:rPr>
              <w:t>2</w:t>
            </w:r>
            <w:r>
              <w:rPr>
                <w:rFonts w:hint="eastAsia" w:ascii="仿宋_GB2312" w:hAnsi="仿宋" w:eastAsia="仿宋_GB2312" w:cs="宋体"/>
                <w:sz w:val="32"/>
                <w:szCs w:val="32"/>
                <w:lang w:val="en-US" w:eastAsia="zh-CN"/>
              </w:rPr>
              <w:t>7</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25</w:t>
            </w:r>
          </w:p>
        </w:tc>
        <w:tc>
          <w:tcPr>
            <w:tcW w:w="1454" w:type="dxa"/>
          </w:tcPr>
          <w:p>
            <w:pPr>
              <w:jc w:val="center"/>
              <w:rPr>
                <w:rFonts w:hint="eastAsia" w:ascii="仿宋_GB2312" w:hAnsi="仿宋" w:eastAsia="仿宋_GB2312" w:cs="宋体"/>
                <w:sz w:val="32"/>
                <w:szCs w:val="32"/>
                <w:lang w:eastAsia="zh-CN"/>
              </w:rPr>
            </w:pPr>
            <w:r>
              <w:rPr>
                <w:rFonts w:hint="eastAsia" w:ascii="仿宋_GB2312" w:hAnsi="仿宋" w:eastAsia="仿宋_GB2312" w:cs="宋体"/>
                <w:sz w:val="32"/>
                <w:szCs w:val="32"/>
              </w:rPr>
              <w:t>9</w:t>
            </w:r>
            <w:r>
              <w:rPr>
                <w:rFonts w:hint="eastAsia" w:ascii="仿宋_GB2312" w:hAnsi="仿宋" w:eastAsia="仿宋_GB2312" w:cs="宋体"/>
                <w:sz w:val="32"/>
                <w:szCs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jc w:val="center"/>
              <w:rPr>
                <w:rFonts w:ascii="仿宋_GB2312" w:hAnsi="仿宋" w:eastAsia="仿宋_GB2312" w:cs="宋体"/>
                <w:sz w:val="32"/>
                <w:szCs w:val="32"/>
              </w:rPr>
            </w:pPr>
            <w:r>
              <w:rPr>
                <w:rFonts w:hint="eastAsia" w:ascii="仿宋_GB2312" w:hAnsi="仿宋" w:eastAsia="仿宋_GB2312" w:cs="宋体"/>
                <w:sz w:val="32"/>
                <w:szCs w:val="32"/>
              </w:rPr>
              <w:t>得分率</w:t>
            </w:r>
          </w:p>
        </w:tc>
        <w:tc>
          <w:tcPr>
            <w:tcW w:w="1230" w:type="dxa"/>
          </w:tcPr>
          <w:p>
            <w:pPr>
              <w:jc w:val="center"/>
              <w:rPr>
                <w:rFonts w:ascii="仿宋_GB2312" w:hAnsi="仿宋" w:eastAsia="仿宋_GB2312" w:cs="宋体"/>
                <w:sz w:val="32"/>
                <w:szCs w:val="32"/>
              </w:rPr>
            </w:pPr>
            <w:r>
              <w:rPr>
                <w:rFonts w:hint="eastAsia" w:ascii="仿宋_GB2312" w:hAnsi="仿宋" w:eastAsia="仿宋_GB2312" w:cs="宋体"/>
                <w:sz w:val="32"/>
                <w:szCs w:val="32"/>
              </w:rPr>
              <w:t>92%</w:t>
            </w:r>
          </w:p>
        </w:tc>
        <w:tc>
          <w:tcPr>
            <w:tcW w:w="1453" w:type="dxa"/>
          </w:tcPr>
          <w:p>
            <w:pPr>
              <w:jc w:val="center"/>
              <w:rPr>
                <w:rFonts w:ascii="仿宋_GB2312" w:hAnsi="仿宋" w:eastAsia="仿宋_GB2312" w:cs="宋体"/>
                <w:sz w:val="32"/>
                <w:szCs w:val="32"/>
              </w:rPr>
            </w:pPr>
            <w:r>
              <w:rPr>
                <w:rFonts w:hint="eastAsia" w:ascii="仿宋_GB2312" w:hAnsi="仿宋" w:eastAsia="仿宋_GB2312" w:cs="宋体"/>
                <w:sz w:val="32"/>
                <w:szCs w:val="32"/>
                <w:lang w:val="en-US" w:eastAsia="zh-CN"/>
              </w:rPr>
              <w:t>100</w:t>
            </w:r>
            <w:r>
              <w:rPr>
                <w:rFonts w:hint="eastAsia" w:ascii="仿宋_GB2312" w:hAnsi="仿宋" w:eastAsia="仿宋_GB2312" w:cs="宋体"/>
                <w:sz w:val="32"/>
                <w:szCs w:val="32"/>
              </w:rPr>
              <w:t>%</w:t>
            </w:r>
          </w:p>
        </w:tc>
        <w:tc>
          <w:tcPr>
            <w:tcW w:w="1453" w:type="dxa"/>
          </w:tcPr>
          <w:p>
            <w:pPr>
              <w:jc w:val="center"/>
              <w:rPr>
                <w:rFonts w:ascii="仿宋_GB2312" w:hAnsi="仿宋" w:eastAsia="仿宋_GB2312" w:cs="宋体"/>
                <w:sz w:val="32"/>
                <w:szCs w:val="32"/>
              </w:rPr>
            </w:pPr>
            <w:r>
              <w:rPr>
                <w:rFonts w:hint="eastAsia" w:ascii="仿宋_GB2312" w:hAnsi="仿宋" w:eastAsia="仿宋_GB2312" w:cs="宋体"/>
                <w:sz w:val="32"/>
                <w:szCs w:val="32"/>
              </w:rPr>
              <w:t>96%</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83%</w:t>
            </w:r>
          </w:p>
        </w:tc>
        <w:tc>
          <w:tcPr>
            <w:tcW w:w="1454" w:type="dxa"/>
          </w:tcPr>
          <w:p>
            <w:pPr>
              <w:jc w:val="center"/>
              <w:rPr>
                <w:rFonts w:ascii="仿宋_GB2312" w:hAnsi="仿宋" w:eastAsia="仿宋_GB2312" w:cs="宋体"/>
                <w:sz w:val="32"/>
                <w:szCs w:val="32"/>
              </w:rPr>
            </w:pPr>
            <w:r>
              <w:rPr>
                <w:rFonts w:hint="eastAsia" w:ascii="仿宋_GB2312" w:hAnsi="仿宋" w:eastAsia="仿宋_GB2312" w:cs="宋体"/>
                <w:sz w:val="32"/>
                <w:szCs w:val="32"/>
              </w:rPr>
              <w:t>9</w:t>
            </w:r>
            <w:r>
              <w:rPr>
                <w:rFonts w:hint="eastAsia" w:ascii="仿宋_GB2312" w:hAnsi="仿宋" w:eastAsia="仿宋_GB2312" w:cs="宋体"/>
                <w:sz w:val="32"/>
                <w:szCs w:val="32"/>
                <w:lang w:val="en-US" w:eastAsia="zh-CN"/>
              </w:rPr>
              <w:t>3</w:t>
            </w:r>
            <w:r>
              <w:rPr>
                <w:rFonts w:hint="eastAsia" w:ascii="仿宋_GB2312" w:hAnsi="仿宋" w:eastAsia="仿宋_GB2312" w:cs="宋体"/>
                <w:sz w:val="32"/>
                <w:szCs w:val="32"/>
              </w:rPr>
              <w:t>%</w:t>
            </w:r>
          </w:p>
        </w:tc>
      </w:tr>
    </w:tbl>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 xml:space="preserve">（二）绩效评价指标分析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该项目绩效评价指标体系共设置4个一级指标、5个二级指标和1</w:t>
      </w:r>
      <w:r>
        <w:rPr>
          <w:rFonts w:hint="eastAsia" w:ascii="仿宋_GB2312" w:hAnsi="仿宋" w:eastAsia="仿宋_GB2312" w:cs="宋体"/>
          <w:color w:val="000000"/>
          <w:sz w:val="32"/>
          <w:szCs w:val="32"/>
          <w:lang w:val="en-US" w:eastAsia="zh-CN"/>
        </w:rPr>
        <w:t>8</w:t>
      </w:r>
      <w:r>
        <w:rPr>
          <w:rFonts w:hint="eastAsia" w:ascii="仿宋_GB2312" w:hAnsi="仿宋" w:eastAsia="仿宋_GB2312" w:cs="宋体"/>
          <w:color w:val="000000"/>
          <w:sz w:val="32"/>
          <w:szCs w:val="32"/>
        </w:rPr>
        <w:t>个三级指标，相关指标得分分析如下：</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（一）投入（项目立项情况）（满分13分，实得12分）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（1）项目立项合规性（满分5分，得4分）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立项及申请过程符合黄山市财政局及市劳动局《关于核拨企业退休人员社会化管理服务专项经费有关问题的通知》的相关规定，但是屯溪区未制定相关工作实施细则；项目申报内容完整，有项目支出绩效目标申报表，且按项目申报表严格执行。未制定实施细则扣1分。依据评分标准得4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（2）绩效目标合理性（满分3分，得3分）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项目绩效总体目标是通过开展企业退休人员社会化管理工作，实现企业退休人员社会化管理，切实提升退休人员属地管理的满意度和幸福感。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项目绩效阶段性目标是保障全区15000余名企业退休人员工资档案管理；协助企业退休人员养老保险待遇领取资格认证，确保退休人员待遇按时足额发放；宣传社会保险政策；开展走访和节日慰问工作、开展社会公益活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绩效目标合理，依据评分标准得3分。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（3）绩效指标明确性（满分5分，得5分）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绩效指标含投入、过程、产出及效益指标；绩效指标明确、清晰、可衡量、完整、详细，依据评分标准得5分。</w:t>
      </w:r>
    </w:p>
    <w:p>
      <w:pPr>
        <w:ind w:firstLine="540"/>
        <w:rPr>
          <w:rFonts w:ascii="仿宋_GB2312" w:hAnsi="仿宋" w:eastAsia="仿宋_GB2312" w:cs="黑体"/>
          <w:b/>
          <w:sz w:val="32"/>
          <w:szCs w:val="32"/>
        </w:rPr>
      </w:pPr>
      <w:r>
        <w:rPr>
          <w:rFonts w:hint="eastAsia" w:ascii="仿宋_GB2312" w:hAnsi="仿宋" w:eastAsia="仿宋_GB2312" w:cs="黑体"/>
          <w:b/>
          <w:sz w:val="32"/>
          <w:szCs w:val="32"/>
        </w:rPr>
        <w:t>（二）过程（业务管理和财务管理）（满分</w:t>
      </w:r>
      <w:r>
        <w:rPr>
          <w:rFonts w:hint="eastAsia" w:ascii="仿宋_GB2312" w:hAnsi="仿宋" w:eastAsia="仿宋_GB2312" w:cs="黑体"/>
          <w:b/>
          <w:sz w:val="32"/>
          <w:szCs w:val="32"/>
          <w:lang w:val="en-US" w:eastAsia="zh-CN"/>
        </w:rPr>
        <w:t>29</w:t>
      </w:r>
      <w:r>
        <w:rPr>
          <w:rFonts w:hint="eastAsia" w:ascii="仿宋_GB2312" w:hAnsi="仿宋" w:eastAsia="仿宋_GB2312" w:cs="黑体"/>
          <w:b/>
          <w:sz w:val="32"/>
          <w:szCs w:val="32"/>
        </w:rPr>
        <w:t>分，得2</w:t>
      </w:r>
      <w:r>
        <w:rPr>
          <w:rFonts w:hint="eastAsia" w:ascii="仿宋_GB2312" w:hAnsi="仿宋" w:eastAsia="仿宋_GB2312" w:cs="黑体"/>
          <w:b/>
          <w:sz w:val="32"/>
          <w:szCs w:val="32"/>
          <w:lang w:val="en-US" w:eastAsia="zh-CN"/>
        </w:rPr>
        <w:t>9</w:t>
      </w:r>
      <w:r>
        <w:rPr>
          <w:rFonts w:hint="eastAsia" w:ascii="仿宋_GB2312" w:hAnsi="仿宋" w:eastAsia="仿宋_GB2312" w:cs="黑体"/>
          <w:b/>
          <w:sz w:val="32"/>
          <w:szCs w:val="32"/>
        </w:rPr>
        <w:t>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1.业务管理（满分1</w:t>
      </w:r>
      <w:r>
        <w:rPr>
          <w:rFonts w:hint="eastAsia" w:ascii="仿宋_GB2312" w:hAnsi="仿宋" w:eastAsia="仿宋_GB2312" w:cs="黑体"/>
          <w:b/>
          <w:sz w:val="32"/>
          <w:szCs w:val="32"/>
          <w:lang w:val="en-US" w:eastAsia="zh-CN"/>
        </w:rPr>
        <w:t>0</w:t>
      </w:r>
      <w:r>
        <w:rPr>
          <w:rFonts w:hint="eastAsia" w:ascii="仿宋_GB2312" w:hAnsi="仿宋" w:eastAsia="仿宋_GB2312" w:cs="黑体"/>
          <w:b/>
          <w:sz w:val="32"/>
          <w:szCs w:val="32"/>
        </w:rPr>
        <w:t>分，实得</w:t>
      </w:r>
      <w:r>
        <w:rPr>
          <w:rFonts w:hint="eastAsia" w:ascii="仿宋_GB2312" w:hAnsi="仿宋" w:eastAsia="仿宋_GB2312" w:cs="黑体"/>
          <w:b/>
          <w:sz w:val="32"/>
          <w:szCs w:val="32"/>
          <w:lang w:val="en-US" w:eastAsia="zh-CN"/>
        </w:rPr>
        <w:t>10</w:t>
      </w:r>
      <w:r>
        <w:rPr>
          <w:rFonts w:hint="eastAsia" w:ascii="仿宋_GB2312" w:hAnsi="仿宋" w:eastAsia="仿宋_GB2312" w:cs="黑体"/>
          <w:b/>
          <w:sz w:val="32"/>
          <w:szCs w:val="32"/>
        </w:rPr>
        <w:t>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w:t>
      </w:r>
      <w:r>
        <w:rPr>
          <w:rFonts w:hint="eastAsia" w:ascii="仿宋_GB2312" w:hAnsi="仿宋" w:eastAsia="仿宋_GB2312" w:cs="黑体"/>
          <w:b/>
          <w:sz w:val="32"/>
          <w:szCs w:val="32"/>
          <w:lang w:val="en-US" w:eastAsia="zh-CN"/>
        </w:rPr>
        <w:t>1</w:t>
      </w:r>
      <w:r>
        <w:rPr>
          <w:rFonts w:hint="eastAsia" w:ascii="仿宋_GB2312" w:hAnsi="仿宋" w:eastAsia="仿宋_GB2312" w:cs="黑体"/>
          <w:b/>
          <w:sz w:val="32"/>
          <w:szCs w:val="32"/>
        </w:rPr>
        <w:t>）退休人员待遇发放及时性（满分</w:t>
      </w:r>
      <w:r>
        <w:rPr>
          <w:rFonts w:hint="eastAsia" w:ascii="仿宋_GB2312" w:hAnsi="仿宋" w:eastAsia="仿宋_GB2312" w:cs="黑体"/>
          <w:b/>
          <w:sz w:val="32"/>
          <w:szCs w:val="32"/>
          <w:lang w:val="en-US" w:eastAsia="zh-CN"/>
        </w:rPr>
        <w:t>5</w:t>
      </w:r>
      <w:r>
        <w:rPr>
          <w:rFonts w:hint="eastAsia" w:ascii="仿宋_GB2312" w:hAnsi="仿宋" w:eastAsia="仿宋_GB2312" w:cs="黑体"/>
          <w:b/>
          <w:sz w:val="32"/>
          <w:szCs w:val="32"/>
        </w:rPr>
        <w:t>分，得</w:t>
      </w:r>
      <w:r>
        <w:rPr>
          <w:rFonts w:hint="eastAsia" w:ascii="仿宋_GB2312" w:hAnsi="仿宋" w:eastAsia="仿宋_GB2312" w:cs="黑体"/>
          <w:b/>
          <w:sz w:val="32"/>
          <w:szCs w:val="32"/>
          <w:lang w:val="en-US" w:eastAsia="zh-CN"/>
        </w:rPr>
        <w:t>5</w:t>
      </w:r>
      <w:r>
        <w:rPr>
          <w:rFonts w:hint="eastAsia" w:ascii="仿宋_GB2312" w:hAnsi="仿宋" w:eastAsia="仿宋_GB2312" w:cs="黑体"/>
          <w:b/>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区社保中心按月足额及时发放、调整和补发退休人员待遇，全年累计发放19.29万人次，累计金额51296万元。未发现待遇发放不及时问题。依据评分标准得</w:t>
      </w:r>
      <w:r>
        <w:rPr>
          <w:rFonts w:hint="eastAsia" w:ascii="仿宋_GB2312" w:hAnsi="仿宋" w:eastAsia="仿宋_GB2312" w:cs="宋体"/>
          <w:color w:val="000000"/>
          <w:sz w:val="32"/>
          <w:szCs w:val="32"/>
          <w:lang w:val="en-US" w:eastAsia="zh-CN"/>
        </w:rPr>
        <w:t>5</w:t>
      </w:r>
      <w:r>
        <w:rPr>
          <w:rFonts w:hint="eastAsia" w:ascii="仿宋_GB2312" w:hAnsi="仿宋" w:eastAsia="仿宋_GB2312" w:cs="宋体"/>
          <w:color w:val="000000"/>
          <w:sz w:val="32"/>
          <w:szCs w:val="32"/>
        </w:rPr>
        <w:t>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w:t>
      </w:r>
      <w:r>
        <w:rPr>
          <w:rFonts w:hint="eastAsia" w:ascii="仿宋_GB2312" w:hAnsi="仿宋" w:eastAsia="仿宋_GB2312" w:cs="黑体"/>
          <w:b/>
          <w:sz w:val="32"/>
          <w:szCs w:val="32"/>
          <w:lang w:val="en-US" w:eastAsia="zh-CN"/>
        </w:rPr>
        <w:t>2</w:t>
      </w:r>
      <w:r>
        <w:rPr>
          <w:rFonts w:hint="eastAsia" w:ascii="仿宋_GB2312" w:hAnsi="仿宋" w:eastAsia="仿宋_GB2312" w:cs="黑体"/>
          <w:b/>
          <w:sz w:val="32"/>
          <w:szCs w:val="32"/>
        </w:rPr>
        <w:t>）档案管理情况（满分5分，得5分）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经抽查，区社保中心关于企业退休人员档案资料管理规范且完整，依据评分标准得5分。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2.财务管理（满分19分，得19分）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（1）财务管理制度建设及执行有效性（满分5分，得5分）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区社保中心对中心所有支出执行《区人社局财务管理办法》，财务制度基本健全，报销审批流程规范，按规章制度执行。依据评分标准得5分。</w:t>
      </w:r>
    </w:p>
    <w:p>
      <w:pPr>
        <w:ind w:firstLine="540"/>
        <w:rPr>
          <w:rFonts w:ascii="仿宋_GB2312" w:hAnsi="仿宋" w:eastAsia="仿宋_GB2312" w:cs="仿宋_GB2312"/>
          <w:b/>
          <w:sz w:val="32"/>
          <w:szCs w:val="32"/>
        </w:rPr>
      </w:pPr>
      <w:r>
        <w:rPr>
          <w:rFonts w:hint="eastAsia" w:ascii="仿宋_GB2312" w:hAnsi="仿宋" w:eastAsia="仿宋_GB2312" w:cs="黑体"/>
          <w:b/>
          <w:sz w:val="32"/>
          <w:szCs w:val="32"/>
        </w:rPr>
        <w:t>（2）资金使用合理性（满分8分，得8分）</w:t>
      </w:r>
      <w:r>
        <w:rPr>
          <w:rFonts w:hint="eastAsia" w:ascii="仿宋_GB2312" w:hAnsi="仿宋" w:eastAsia="仿宋_GB2312" w:cs="仿宋_GB2312"/>
          <w:b/>
          <w:sz w:val="32"/>
          <w:szCs w:val="32"/>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中心建立专项核算，经检查会计凭证及附件，项目支出列支规范，无违规行为。2024年度企业退休人员社会化管理专项经费支出30万元，其中区社保中心留用12万元，占比40%，主要用于支付服务企业退休人员的人员工资及福利费；拨付各社区企业退管费18万元，占比60%。依据评分标准得8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（3）经费拨付及时性（满分4分，得4分）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区社保中心按年将企业退休人员社会化管理费用、按退休人员社区分布拨付退管费到社区，经费拨付时间符合年初计划。依据评分标准得4分。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（4）绩效监控有效性（满分2分，得2分）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区社保中心严格按财政部门要求开展绩效监控自评，未发现实际完成情况与绩效目标偏离的情况，依据评分标准得2分。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（三）产出（项目产出）（满分2</w:t>
      </w:r>
      <w:r>
        <w:rPr>
          <w:rFonts w:hint="eastAsia" w:ascii="仿宋_GB2312" w:hAnsi="仿宋" w:eastAsia="仿宋_GB2312" w:cs="黑体"/>
          <w:b/>
          <w:sz w:val="32"/>
          <w:szCs w:val="32"/>
          <w:lang w:val="en-US" w:eastAsia="zh-CN"/>
        </w:rPr>
        <w:t>8</w:t>
      </w:r>
      <w:r>
        <w:rPr>
          <w:rFonts w:hint="eastAsia" w:ascii="仿宋_GB2312" w:hAnsi="仿宋" w:eastAsia="仿宋_GB2312" w:cs="黑体"/>
          <w:b/>
          <w:sz w:val="32"/>
          <w:szCs w:val="32"/>
        </w:rPr>
        <w:t>分，得2</w:t>
      </w:r>
      <w:r>
        <w:rPr>
          <w:rFonts w:hint="eastAsia" w:ascii="仿宋_GB2312" w:hAnsi="仿宋" w:eastAsia="仿宋_GB2312" w:cs="黑体"/>
          <w:b/>
          <w:sz w:val="32"/>
          <w:szCs w:val="32"/>
          <w:lang w:val="en-US" w:eastAsia="zh-CN"/>
        </w:rPr>
        <w:t>7</w:t>
      </w:r>
      <w:r>
        <w:rPr>
          <w:rFonts w:hint="eastAsia" w:ascii="仿宋_GB2312" w:hAnsi="仿宋" w:eastAsia="仿宋_GB2312" w:cs="黑体"/>
          <w:b/>
          <w:sz w:val="32"/>
          <w:szCs w:val="32"/>
        </w:rPr>
        <w:t>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1.预算执行率（满分10分，得10分）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区社保中心项目安排预算30万元，实际执行30万元，执行率100%，依据评分标准得10分。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2.资格认证完成率（满分6分，得6分）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根据《中华人民共和国社会保险法》《人力资源社会保障部办公厅关于印发&lt;领取社会化保险待遇资格确认经办规程（暂行）&gt;的通知》（人社厅发〔2018〕107号）《安徽省推进养老保险待遇领取资格静默认证便民化若干措施》（皖社险函〔2021〕65号）规定，须通过下载皖事通、掌上12333手机APP的人脸识别自助认证等方式进行养老保险待遇领取资格认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2024年度屯溪区企业退休应认证人员数15131人次，企业退休人员养老金资格认证完成15131人次，资格认证工作完成率100%；企业养老遗属应认证人数178人，已完成认证178人，资格认证完成率100%。依据评分标准得6分。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3.政策宣传情况（满分4分，得4分）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区社保中心打造“零距离+社会面+新媒体”宣传矩阵，全方位开展社保服务进万家活动。通过“数据找人”、网格员入户、商圈搭台、公众号和网站等多板块“云”传递社保资讯，力达政策“在企身边”。2024年，“昱见社保”志愿先锋队深入企业、镇街政策宣传12场次，走访企业200余家，印发宣传单页8000余份，“屯溪人社”公众号浏览量达8.7万余人次。依据评分标准得4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4.关怀慰问情况（满分</w:t>
      </w:r>
      <w:r>
        <w:rPr>
          <w:rFonts w:hint="eastAsia" w:ascii="仿宋_GB2312" w:hAnsi="仿宋" w:eastAsia="仿宋_GB2312" w:cs="黑体"/>
          <w:b/>
          <w:sz w:val="32"/>
          <w:szCs w:val="32"/>
          <w:lang w:val="en-US" w:eastAsia="zh-CN"/>
        </w:rPr>
        <w:t>3</w:t>
      </w:r>
      <w:r>
        <w:rPr>
          <w:rFonts w:hint="eastAsia" w:ascii="仿宋_GB2312" w:hAnsi="仿宋" w:eastAsia="仿宋_GB2312" w:cs="黑体"/>
          <w:b/>
          <w:sz w:val="32"/>
          <w:szCs w:val="32"/>
        </w:rPr>
        <w:t>分，得</w:t>
      </w:r>
      <w:r>
        <w:rPr>
          <w:rFonts w:hint="eastAsia" w:ascii="仿宋_GB2312" w:hAnsi="仿宋" w:eastAsia="仿宋_GB2312" w:cs="黑体"/>
          <w:b/>
          <w:sz w:val="32"/>
          <w:szCs w:val="32"/>
          <w:lang w:val="en-US" w:eastAsia="zh-CN"/>
        </w:rPr>
        <w:t>2</w:t>
      </w:r>
      <w:r>
        <w:rPr>
          <w:rFonts w:hint="eastAsia" w:ascii="仿宋_GB2312" w:hAnsi="仿宋" w:eastAsia="仿宋_GB2312" w:cs="黑体"/>
          <w:b/>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发放调查问卷25份，收回25份，其中有5人表示对该制度不了解，社区制度宣传不到位，扣1分。社区在重大节日对退休人员慰问等活动，未发现制度不合格情况。依据评分标准得</w:t>
      </w:r>
      <w:r>
        <w:rPr>
          <w:rFonts w:hint="eastAsia" w:ascii="仿宋_GB2312" w:hAnsi="仿宋" w:eastAsia="仿宋_GB2312" w:cs="宋体"/>
          <w:color w:val="000000"/>
          <w:sz w:val="32"/>
          <w:szCs w:val="32"/>
          <w:lang w:val="en-US" w:eastAsia="zh-CN"/>
        </w:rPr>
        <w:t>2</w:t>
      </w:r>
      <w:r>
        <w:rPr>
          <w:rFonts w:hint="eastAsia" w:ascii="仿宋_GB2312" w:hAnsi="仿宋" w:eastAsia="仿宋_GB2312" w:cs="宋体"/>
          <w:color w:val="000000"/>
          <w:sz w:val="32"/>
          <w:szCs w:val="32"/>
        </w:rPr>
        <w:t>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5.活动开展情况（满分5分，得5分）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社区精心打造"我们的节日"系列活动：春节送福写春联、端午包粽话家常、元宵猜谜庆团圆；同时定期开展便民服务，组织义诊义剪等，让居民感受温暖关怀。依据评分标准得5分。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（四）效益（项目效益）（满分30分，得25分）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1.经济效益指标（满分7分，得5分）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通过项目实施，评价对退休人员生活的影响程度。区社保中心积极贯彻落实各级关于调整企业和机关事业单位退休人员基本养老金政策，同步调整企业和机关事业单位退休人员养老金水平，切实保障退休人员老有所养，增强广大退休人员的获得感和幸福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本次项目绩效评价发放调查问卷25份，收回25份，其中有19人表示退休费能保障基本生活，占比76%，依据评分标准得5分。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2.社会效益指标（满分7分，得7分）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通过项目实施，区社保中心及社区对社保政策的宣传，让广大退休人员知政策懂政策，享受社保政策给退休人员带来的养老保障，退休人员可以按月领取到退休金，在一定程度上维护了社会的和谐稳定。依据评分标准得7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3.可持续影响指标（满分6分，得6分）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color w:val="000000"/>
          <w:sz w:val="32"/>
          <w:szCs w:val="32"/>
        </w:rPr>
      </w:pPr>
      <w:r>
        <w:rPr>
          <w:rFonts w:hint="eastAsia" w:ascii="仿宋_GB2312" w:hAnsi="仿宋" w:eastAsia="仿宋_GB2312" w:cs="宋体"/>
          <w:color w:val="000000"/>
          <w:sz w:val="32"/>
          <w:szCs w:val="32"/>
        </w:rPr>
        <w:t>通过项目的持续实施，切实保障区社保中心对企业退休人员档案录入及管理；进一步推进社区服务企业退休人员进行养老金资格认证，推进企业退休人员属地管理；社区组织开展退休人员相关活动，提高退休人员退休生活质量。依据评分标准得6分。</w:t>
      </w:r>
    </w:p>
    <w:p>
      <w:pPr>
        <w:ind w:firstLine="643" w:firstLineChars="200"/>
        <w:rPr>
          <w:rFonts w:hint="eastAsia" w:ascii="仿宋_GB2312" w:hAnsi="仿宋" w:eastAsia="仿宋_GB2312" w:cs="黑体"/>
          <w:b/>
          <w:sz w:val="32"/>
          <w:szCs w:val="32"/>
        </w:rPr>
      </w:pPr>
      <w:r>
        <w:rPr>
          <w:rFonts w:hint="eastAsia" w:ascii="仿宋_GB2312" w:hAnsi="仿宋" w:eastAsia="仿宋_GB2312" w:cs="黑体"/>
          <w:b/>
          <w:sz w:val="32"/>
          <w:szCs w:val="32"/>
        </w:rPr>
        <w:t>4.社会公众或服务对象满意度（满分10分，得7分）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 w:eastAsia="仿宋_GB2312" w:cs="仿宋_GB2312"/>
          <w:sz w:val="32"/>
          <w:szCs w:val="32"/>
        </w:rPr>
      </w:pPr>
      <w:r>
        <w:rPr>
          <w:rFonts w:hint="eastAsia" w:ascii="仿宋_GB2312" w:hAnsi="仿宋" w:eastAsia="仿宋_GB2312" w:cs="宋体"/>
          <w:color w:val="000000"/>
          <w:sz w:val="32"/>
          <w:szCs w:val="32"/>
        </w:rPr>
        <w:t>发放调查问卷25份，收回25份，其中有22人表示对屯溪区企业退休人员社会化管理工作满意，占比88%，得7分。</w:t>
      </w:r>
    </w:p>
    <w:p>
      <w:pPr>
        <w:ind w:firstLine="643" w:firstLineChars="200"/>
        <w:rPr>
          <w:rFonts w:hint="eastAsia" w:ascii="仿宋_GB2312" w:hAnsi="仿宋" w:eastAsia="仿宋_GB2312" w:cs="黑体"/>
          <w:b/>
          <w:sz w:val="32"/>
          <w:szCs w:val="32"/>
          <w:lang w:eastAsia="zh-CN"/>
        </w:rPr>
      </w:pPr>
      <w:r>
        <w:rPr>
          <w:rFonts w:hint="eastAsia" w:ascii="仿宋_GB2312" w:hAnsi="仿宋" w:eastAsia="仿宋_GB2312" w:cs="黑体"/>
          <w:b/>
          <w:sz w:val="32"/>
          <w:szCs w:val="32"/>
        </w:rPr>
        <w:t>五、存在的问题</w:t>
      </w:r>
      <w:r>
        <w:rPr>
          <w:rFonts w:hint="eastAsia" w:ascii="仿宋_GB2312" w:hAnsi="仿宋" w:eastAsia="仿宋_GB2312" w:cs="黑体"/>
          <w:b/>
          <w:sz w:val="32"/>
          <w:szCs w:val="32"/>
          <w:lang w:eastAsia="zh-CN"/>
        </w:rPr>
        <w:t>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社区对企业退休人员应享有的关怀慰问制度宣传不到位。建议社区加大对关怀慰问制度的宣传；增强社区对企业退休人员的关心爱护。</w:t>
      </w:r>
    </w:p>
    <w:p>
      <w:pPr>
        <w:rPr>
          <w:rFonts w:ascii="仿宋_GB2312" w:hAnsi="仿宋" w:eastAsia="仿宋_GB2312" w:cs="宋体"/>
          <w:sz w:val="32"/>
          <w:szCs w:val="32"/>
        </w:rPr>
      </w:pPr>
    </w:p>
    <w:p>
      <w:pPr>
        <w:jc w:val="center"/>
        <w:rPr>
          <w:rFonts w:hint="eastAsia" w:ascii="仿宋_GB2312" w:hAnsi="仿宋" w:eastAsia="仿宋_GB2312" w:cs="宋体"/>
          <w:sz w:val="32"/>
          <w:szCs w:val="32"/>
          <w:lang w:eastAsia="zh-CN"/>
        </w:rPr>
      </w:pPr>
      <w:r>
        <w:rPr>
          <w:rFonts w:hint="eastAsia" w:ascii="仿宋_GB2312" w:hAnsi="仿宋" w:eastAsia="仿宋_GB2312" w:cs="宋体"/>
          <w:sz w:val="32"/>
          <w:szCs w:val="32"/>
          <w:lang w:val="en-US" w:eastAsia="zh-CN"/>
        </w:rPr>
        <w:t xml:space="preserve">                        </w:t>
      </w:r>
      <w:r>
        <w:rPr>
          <w:rFonts w:hint="eastAsia" w:ascii="仿宋_GB2312" w:hAnsi="仿宋" w:eastAsia="仿宋_GB2312" w:cs="宋体"/>
          <w:sz w:val="32"/>
          <w:szCs w:val="32"/>
          <w:lang w:eastAsia="zh-CN"/>
        </w:rPr>
        <w:t>安徽华徽会计师事务所</w:t>
      </w:r>
    </w:p>
    <w:sectPr>
      <w:headerReference r:id="rId3" w:type="default"/>
      <w:footerReference r:id="rId4" w:type="even"/>
      <w:pgSz w:w="11906" w:h="16838"/>
      <w:pgMar w:top="1440" w:right="1304" w:bottom="1440" w:left="1531"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I4YmFhYjE4Mzg1ZDA1ZGIzMWQ3Y2NhOGZkNDg3ZmEifQ=="/>
  </w:docVars>
  <w:rsids>
    <w:rsidRoot w:val="00502ADE"/>
    <w:rsid w:val="00003CA3"/>
    <w:rsid w:val="000132FC"/>
    <w:rsid w:val="000174B5"/>
    <w:rsid w:val="00020E51"/>
    <w:rsid w:val="00034012"/>
    <w:rsid w:val="00036F57"/>
    <w:rsid w:val="000373C0"/>
    <w:rsid w:val="000424B7"/>
    <w:rsid w:val="00052BC7"/>
    <w:rsid w:val="0006106B"/>
    <w:rsid w:val="00062A06"/>
    <w:rsid w:val="000649D1"/>
    <w:rsid w:val="00084559"/>
    <w:rsid w:val="00094DE2"/>
    <w:rsid w:val="000B2B96"/>
    <w:rsid w:val="000C0B3D"/>
    <w:rsid w:val="000C0E49"/>
    <w:rsid w:val="000C1685"/>
    <w:rsid w:val="000C25C0"/>
    <w:rsid w:val="000C65D5"/>
    <w:rsid w:val="000F3D62"/>
    <w:rsid w:val="000F4D5C"/>
    <w:rsid w:val="00112F51"/>
    <w:rsid w:val="001161C7"/>
    <w:rsid w:val="00125CFD"/>
    <w:rsid w:val="00165C42"/>
    <w:rsid w:val="00187849"/>
    <w:rsid w:val="001A1812"/>
    <w:rsid w:val="001A6DAF"/>
    <w:rsid w:val="001B26EC"/>
    <w:rsid w:val="001F261A"/>
    <w:rsid w:val="002014F1"/>
    <w:rsid w:val="00212AA0"/>
    <w:rsid w:val="00255130"/>
    <w:rsid w:val="00260A24"/>
    <w:rsid w:val="002819A6"/>
    <w:rsid w:val="002B3B80"/>
    <w:rsid w:val="002B42BA"/>
    <w:rsid w:val="002C1996"/>
    <w:rsid w:val="002C1DB6"/>
    <w:rsid w:val="002C362F"/>
    <w:rsid w:val="002C57DB"/>
    <w:rsid w:val="002D1BE2"/>
    <w:rsid w:val="002F04A7"/>
    <w:rsid w:val="002F37A2"/>
    <w:rsid w:val="00302E80"/>
    <w:rsid w:val="003062CC"/>
    <w:rsid w:val="00316D42"/>
    <w:rsid w:val="00320AE0"/>
    <w:rsid w:val="00321E29"/>
    <w:rsid w:val="0032333E"/>
    <w:rsid w:val="00337298"/>
    <w:rsid w:val="003378AC"/>
    <w:rsid w:val="00347F44"/>
    <w:rsid w:val="00353171"/>
    <w:rsid w:val="00362FF7"/>
    <w:rsid w:val="003645CD"/>
    <w:rsid w:val="00365DE8"/>
    <w:rsid w:val="00370F8D"/>
    <w:rsid w:val="00371489"/>
    <w:rsid w:val="003828D2"/>
    <w:rsid w:val="0038756E"/>
    <w:rsid w:val="00387900"/>
    <w:rsid w:val="0039433C"/>
    <w:rsid w:val="003B0677"/>
    <w:rsid w:val="003B5A2B"/>
    <w:rsid w:val="003C7847"/>
    <w:rsid w:val="003D0AF7"/>
    <w:rsid w:val="003D2D2C"/>
    <w:rsid w:val="003D2F93"/>
    <w:rsid w:val="003F18A6"/>
    <w:rsid w:val="003F2325"/>
    <w:rsid w:val="00420EE8"/>
    <w:rsid w:val="004235B7"/>
    <w:rsid w:val="0043073B"/>
    <w:rsid w:val="00433B1A"/>
    <w:rsid w:val="0043767B"/>
    <w:rsid w:val="00444B30"/>
    <w:rsid w:val="0044763B"/>
    <w:rsid w:val="004511FA"/>
    <w:rsid w:val="00455B0C"/>
    <w:rsid w:val="00472A35"/>
    <w:rsid w:val="00475A8D"/>
    <w:rsid w:val="00482D1E"/>
    <w:rsid w:val="00486792"/>
    <w:rsid w:val="004A2F7F"/>
    <w:rsid w:val="004A371A"/>
    <w:rsid w:val="004B36E0"/>
    <w:rsid w:val="004B467B"/>
    <w:rsid w:val="004B4EC6"/>
    <w:rsid w:val="004E683D"/>
    <w:rsid w:val="004F0D1D"/>
    <w:rsid w:val="004F37E3"/>
    <w:rsid w:val="004F59D3"/>
    <w:rsid w:val="00502ADE"/>
    <w:rsid w:val="00531B86"/>
    <w:rsid w:val="0053466D"/>
    <w:rsid w:val="00542A91"/>
    <w:rsid w:val="00546389"/>
    <w:rsid w:val="00552497"/>
    <w:rsid w:val="00561FCA"/>
    <w:rsid w:val="00571C18"/>
    <w:rsid w:val="00572069"/>
    <w:rsid w:val="00592EA5"/>
    <w:rsid w:val="00594655"/>
    <w:rsid w:val="005A2000"/>
    <w:rsid w:val="005C32BD"/>
    <w:rsid w:val="005C7B54"/>
    <w:rsid w:val="005D22E2"/>
    <w:rsid w:val="005D5E10"/>
    <w:rsid w:val="005E4C30"/>
    <w:rsid w:val="005F0C59"/>
    <w:rsid w:val="005F1DC4"/>
    <w:rsid w:val="005F3C21"/>
    <w:rsid w:val="005F4C8B"/>
    <w:rsid w:val="005F6E2E"/>
    <w:rsid w:val="00607692"/>
    <w:rsid w:val="00610941"/>
    <w:rsid w:val="00615E8E"/>
    <w:rsid w:val="006330A2"/>
    <w:rsid w:val="006375AF"/>
    <w:rsid w:val="0066608A"/>
    <w:rsid w:val="006830B1"/>
    <w:rsid w:val="0068662D"/>
    <w:rsid w:val="0069029A"/>
    <w:rsid w:val="006B2F55"/>
    <w:rsid w:val="006C518A"/>
    <w:rsid w:val="006D3C96"/>
    <w:rsid w:val="006D4F20"/>
    <w:rsid w:val="006F17EC"/>
    <w:rsid w:val="0071525F"/>
    <w:rsid w:val="00720120"/>
    <w:rsid w:val="00720B49"/>
    <w:rsid w:val="007238E0"/>
    <w:rsid w:val="0072753F"/>
    <w:rsid w:val="007325C1"/>
    <w:rsid w:val="00736977"/>
    <w:rsid w:val="00742915"/>
    <w:rsid w:val="00747206"/>
    <w:rsid w:val="00750DEB"/>
    <w:rsid w:val="0077797F"/>
    <w:rsid w:val="007B697F"/>
    <w:rsid w:val="007B6E04"/>
    <w:rsid w:val="007B7879"/>
    <w:rsid w:val="007C3770"/>
    <w:rsid w:val="007D7827"/>
    <w:rsid w:val="007E0D73"/>
    <w:rsid w:val="007F6FD3"/>
    <w:rsid w:val="0082393D"/>
    <w:rsid w:val="00832A18"/>
    <w:rsid w:val="0083439F"/>
    <w:rsid w:val="008432B7"/>
    <w:rsid w:val="00846083"/>
    <w:rsid w:val="00852D27"/>
    <w:rsid w:val="00855867"/>
    <w:rsid w:val="00857500"/>
    <w:rsid w:val="008654F2"/>
    <w:rsid w:val="00872D43"/>
    <w:rsid w:val="00874CBE"/>
    <w:rsid w:val="008957A1"/>
    <w:rsid w:val="008A73D0"/>
    <w:rsid w:val="008C5807"/>
    <w:rsid w:val="008C6EC2"/>
    <w:rsid w:val="008D0431"/>
    <w:rsid w:val="008E241E"/>
    <w:rsid w:val="008E706D"/>
    <w:rsid w:val="0090395F"/>
    <w:rsid w:val="0091214D"/>
    <w:rsid w:val="00913D3A"/>
    <w:rsid w:val="00972BC1"/>
    <w:rsid w:val="009B011B"/>
    <w:rsid w:val="009B0E82"/>
    <w:rsid w:val="009B1984"/>
    <w:rsid w:val="009B4FCC"/>
    <w:rsid w:val="009B534F"/>
    <w:rsid w:val="009C3DEA"/>
    <w:rsid w:val="009D143A"/>
    <w:rsid w:val="009D2849"/>
    <w:rsid w:val="009F786F"/>
    <w:rsid w:val="00A04387"/>
    <w:rsid w:val="00A10ECB"/>
    <w:rsid w:val="00A12C10"/>
    <w:rsid w:val="00A220E6"/>
    <w:rsid w:val="00A43881"/>
    <w:rsid w:val="00A6055C"/>
    <w:rsid w:val="00A67EE6"/>
    <w:rsid w:val="00A72C20"/>
    <w:rsid w:val="00A84BD4"/>
    <w:rsid w:val="00A93E19"/>
    <w:rsid w:val="00AA4202"/>
    <w:rsid w:val="00AC3A46"/>
    <w:rsid w:val="00AE2461"/>
    <w:rsid w:val="00AE794F"/>
    <w:rsid w:val="00B07013"/>
    <w:rsid w:val="00B2007F"/>
    <w:rsid w:val="00B22591"/>
    <w:rsid w:val="00B2279B"/>
    <w:rsid w:val="00B31965"/>
    <w:rsid w:val="00B44023"/>
    <w:rsid w:val="00B45E2F"/>
    <w:rsid w:val="00B5232F"/>
    <w:rsid w:val="00B5282B"/>
    <w:rsid w:val="00B61701"/>
    <w:rsid w:val="00B63F8E"/>
    <w:rsid w:val="00B66699"/>
    <w:rsid w:val="00B71118"/>
    <w:rsid w:val="00B741CE"/>
    <w:rsid w:val="00B7537B"/>
    <w:rsid w:val="00B80958"/>
    <w:rsid w:val="00B8515E"/>
    <w:rsid w:val="00B87999"/>
    <w:rsid w:val="00BA12E1"/>
    <w:rsid w:val="00BA29E4"/>
    <w:rsid w:val="00BC20DA"/>
    <w:rsid w:val="00BE1AFB"/>
    <w:rsid w:val="00BF1039"/>
    <w:rsid w:val="00C01CBC"/>
    <w:rsid w:val="00C02EBF"/>
    <w:rsid w:val="00C06CD3"/>
    <w:rsid w:val="00C12E83"/>
    <w:rsid w:val="00C1546D"/>
    <w:rsid w:val="00C21CA4"/>
    <w:rsid w:val="00C346C6"/>
    <w:rsid w:val="00C42CE7"/>
    <w:rsid w:val="00C47F1F"/>
    <w:rsid w:val="00C50EAA"/>
    <w:rsid w:val="00C739D6"/>
    <w:rsid w:val="00C808A1"/>
    <w:rsid w:val="00C8100A"/>
    <w:rsid w:val="00C8373E"/>
    <w:rsid w:val="00CB496F"/>
    <w:rsid w:val="00CC4D90"/>
    <w:rsid w:val="00CD44D9"/>
    <w:rsid w:val="00CE1099"/>
    <w:rsid w:val="00CF58EA"/>
    <w:rsid w:val="00CF7DBA"/>
    <w:rsid w:val="00D228A3"/>
    <w:rsid w:val="00D2529A"/>
    <w:rsid w:val="00D30CB1"/>
    <w:rsid w:val="00D344DF"/>
    <w:rsid w:val="00D35C3F"/>
    <w:rsid w:val="00D43532"/>
    <w:rsid w:val="00D51A24"/>
    <w:rsid w:val="00D53223"/>
    <w:rsid w:val="00D6755B"/>
    <w:rsid w:val="00D67949"/>
    <w:rsid w:val="00D717F6"/>
    <w:rsid w:val="00D872D5"/>
    <w:rsid w:val="00DB6A64"/>
    <w:rsid w:val="00DC1B84"/>
    <w:rsid w:val="00DD3123"/>
    <w:rsid w:val="00DD39B1"/>
    <w:rsid w:val="00DE5B0B"/>
    <w:rsid w:val="00E02E50"/>
    <w:rsid w:val="00E07A6F"/>
    <w:rsid w:val="00E1458F"/>
    <w:rsid w:val="00E14913"/>
    <w:rsid w:val="00E21AD9"/>
    <w:rsid w:val="00E34D9C"/>
    <w:rsid w:val="00E4225D"/>
    <w:rsid w:val="00E72F0E"/>
    <w:rsid w:val="00EA1D08"/>
    <w:rsid w:val="00EA46CD"/>
    <w:rsid w:val="00EB0BEF"/>
    <w:rsid w:val="00EB61D3"/>
    <w:rsid w:val="00EC2177"/>
    <w:rsid w:val="00EC2A51"/>
    <w:rsid w:val="00EF10D9"/>
    <w:rsid w:val="00EF24ED"/>
    <w:rsid w:val="00F30866"/>
    <w:rsid w:val="00F326AF"/>
    <w:rsid w:val="00F402D0"/>
    <w:rsid w:val="00F45DC2"/>
    <w:rsid w:val="00F51195"/>
    <w:rsid w:val="00F528A4"/>
    <w:rsid w:val="00F546BD"/>
    <w:rsid w:val="00F569C5"/>
    <w:rsid w:val="00F6012A"/>
    <w:rsid w:val="00F740BB"/>
    <w:rsid w:val="00F74DFB"/>
    <w:rsid w:val="00F87586"/>
    <w:rsid w:val="00FD03E3"/>
    <w:rsid w:val="00FD473E"/>
    <w:rsid w:val="00FE06A9"/>
    <w:rsid w:val="00FE4F67"/>
    <w:rsid w:val="00FE5C11"/>
    <w:rsid w:val="00FE6BBA"/>
    <w:rsid w:val="00FF45F5"/>
    <w:rsid w:val="01925AD4"/>
    <w:rsid w:val="023A60BA"/>
    <w:rsid w:val="15F63C9D"/>
    <w:rsid w:val="1B83165A"/>
    <w:rsid w:val="209452FF"/>
    <w:rsid w:val="2128733C"/>
    <w:rsid w:val="31046BAE"/>
    <w:rsid w:val="37D700F3"/>
    <w:rsid w:val="385A7317"/>
    <w:rsid w:val="391C4B67"/>
    <w:rsid w:val="3D310383"/>
    <w:rsid w:val="491827E4"/>
    <w:rsid w:val="4A692057"/>
    <w:rsid w:val="532E7BBE"/>
    <w:rsid w:val="5B265CBE"/>
    <w:rsid w:val="5C190553"/>
    <w:rsid w:val="5CA745A7"/>
    <w:rsid w:val="5F7B27BC"/>
    <w:rsid w:val="62780C88"/>
    <w:rsid w:val="62D80C25"/>
    <w:rsid w:val="63A625D1"/>
    <w:rsid w:val="669B2BD8"/>
    <w:rsid w:val="6CDB50D8"/>
    <w:rsid w:val="6DC507FA"/>
    <w:rsid w:val="6DC527AC"/>
    <w:rsid w:val="6F831F46"/>
    <w:rsid w:val="72621E1D"/>
    <w:rsid w:val="75415B80"/>
    <w:rsid w:val="784165B5"/>
    <w:rsid w:val="7C2D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customStyle="1" w:styleId="9">
    <w:name w:val="页脚 Char"/>
    <w:basedOn w:val="7"/>
    <w:link w:val="3"/>
    <w:qFormat/>
    <w:uiPriority w:val="99"/>
    <w:rPr>
      <w:rFonts w:ascii="Times New Roman" w:hAnsi="Times New Roman" w:eastAsia="宋体" w:cs="Times New Roman"/>
      <w:kern w:val="2"/>
      <w:sz w:val="18"/>
      <w:szCs w:val="18"/>
    </w:rPr>
  </w:style>
  <w:style w:type="character" w:customStyle="1" w:styleId="10">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4075</Words>
  <Characters>4252</Characters>
  <Lines>31</Lines>
  <Paragraphs>8</Paragraphs>
  <TotalTime>217</TotalTime>
  <ScaleCrop>false</ScaleCrop>
  <LinksUpToDate>false</LinksUpToDate>
  <CharactersWithSpaces>4284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徽州女人</cp:lastModifiedBy>
  <cp:lastPrinted>2025-06-26T08:36:00Z</cp:lastPrinted>
  <dcterms:modified xsi:type="dcterms:W3CDTF">2025-09-28T07:32:34Z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292270BAF69F497E8C99817ED691AF00</vt:lpwstr>
  </property>
  <property fmtid="{D5CDD505-2E9C-101B-9397-08002B2CF9AE}" pid="4" name="KSOTemplateDocerSaveRecord">
    <vt:lpwstr>eyJoZGlkIjoiYzliODc3MjE5Y2U2Y2ZiMDcyMGM1ZTJiNDI5YTk2OWQiLCJ1c2VySWQiOiIyNzMwODg5NCJ9</vt:lpwstr>
  </property>
</Properties>
</file>