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3A6F9">
      <w:pPr>
        <w:jc w:val="both"/>
        <w:rPr>
          <w:rFonts w:hint="default" w:ascii="黑体" w:hAnsi="黑体" w:eastAsia="黑体" w:cs="黑体"/>
          <w:b w:val="0"/>
          <w:bCs/>
          <w:color w:val="auto"/>
          <w:sz w:val="32"/>
          <w:szCs w:val="32"/>
          <w:lang w:val="en-US" w:eastAsia="zh-CN"/>
        </w:rPr>
      </w:pPr>
      <w:bookmarkStart w:id="0" w:name="_GoBack"/>
      <w:bookmarkEnd w:id="0"/>
    </w:p>
    <w:p w14:paraId="4FF689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eastAsia="zh-CN"/>
        </w:rPr>
        <w:t>黄山市屯溪区</w:t>
      </w:r>
      <w:r>
        <w:rPr>
          <w:rFonts w:hint="default" w:ascii="Times New Roman" w:hAnsi="Times New Roman" w:eastAsia="方正小标宋简体" w:cs="Times New Roman"/>
          <w:b w:val="0"/>
          <w:bCs/>
          <w:color w:val="auto"/>
          <w:sz w:val="44"/>
          <w:szCs w:val="44"/>
          <w:lang w:val="en-US" w:eastAsia="zh-CN"/>
        </w:rPr>
        <w:t>委宣传部</w:t>
      </w:r>
      <w:r>
        <w:rPr>
          <w:rFonts w:hint="default" w:ascii="Times New Roman" w:hAnsi="Times New Roman" w:eastAsia="方正小标宋简体" w:cs="Times New Roman"/>
          <w:b w:val="0"/>
          <w:bCs/>
          <w:color w:val="auto"/>
          <w:sz w:val="44"/>
          <w:szCs w:val="44"/>
          <w:lang w:eastAsia="zh-CN"/>
        </w:rPr>
        <w:t>202</w:t>
      </w:r>
      <w:r>
        <w:rPr>
          <w:rFonts w:hint="default" w:ascii="Times New Roman" w:hAnsi="Times New Roman" w:eastAsia="方正小标宋简体" w:cs="Times New Roman"/>
          <w:b w:val="0"/>
          <w:bCs/>
          <w:color w:val="auto"/>
          <w:sz w:val="44"/>
          <w:szCs w:val="44"/>
          <w:lang w:val="en-US" w:eastAsia="zh-CN"/>
        </w:rPr>
        <w:t>4</w:t>
      </w:r>
      <w:r>
        <w:rPr>
          <w:rFonts w:hint="default" w:ascii="Times New Roman" w:hAnsi="Times New Roman" w:eastAsia="方正小标宋简体" w:cs="Times New Roman"/>
          <w:b w:val="0"/>
          <w:bCs/>
          <w:color w:val="auto"/>
          <w:sz w:val="44"/>
          <w:szCs w:val="44"/>
        </w:rPr>
        <w:t>年度一般公共预算财政拨款“三公”经费支出决算</w:t>
      </w:r>
    </w:p>
    <w:p w14:paraId="543439B8">
      <w:pPr>
        <w:jc w:val="center"/>
        <w:rPr>
          <w:rFonts w:hint="default" w:ascii="Times New Roman" w:hAnsi="Times New Roman" w:eastAsia="楷体_GB2312" w:cs="Times New Roman"/>
          <w:color w:val="auto"/>
          <w:szCs w:val="32"/>
        </w:rPr>
      </w:pPr>
    </w:p>
    <w:p w14:paraId="1CC7042B">
      <w:pPr>
        <w:adjustRightInd w:val="0"/>
        <w:snapToGrid w:val="0"/>
        <w:spacing w:line="360" w:lineRule="auto"/>
        <w:jc w:val="center"/>
        <w:rPr>
          <w:rFonts w:hint="default" w:ascii="Times New Roman" w:hAnsi="Times New Roman" w:cs="Times New Roman"/>
          <w:color w:val="auto"/>
          <w:sz w:val="6"/>
          <w:szCs w:val="32"/>
        </w:rPr>
      </w:pPr>
    </w:p>
    <w:p w14:paraId="52DC340C">
      <w:pPr>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 xml:space="preserve">    一、</w:t>
      </w:r>
      <w:r>
        <w:rPr>
          <w:rFonts w:hint="default" w:ascii="Times New Roman" w:hAnsi="Times New Roman" w:eastAsia="黑体" w:cs="Times New Roman"/>
          <w:color w:val="auto"/>
          <w:szCs w:val="32"/>
          <w:lang w:eastAsia="zh-CN"/>
        </w:rPr>
        <w:t>202</w:t>
      </w:r>
      <w:r>
        <w:rPr>
          <w:rFonts w:hint="default" w:ascii="Times New Roman" w:hAnsi="Times New Roman" w:eastAsia="黑体" w:cs="Times New Roman"/>
          <w:color w:val="auto"/>
          <w:szCs w:val="32"/>
          <w:lang w:val="en-US" w:eastAsia="zh-CN"/>
        </w:rPr>
        <w:t>4</w:t>
      </w:r>
      <w:r>
        <w:rPr>
          <w:rFonts w:hint="default" w:ascii="Times New Roman" w:hAnsi="Times New Roman" w:eastAsia="黑体" w:cs="Times New Roman"/>
          <w:color w:val="auto"/>
          <w:szCs w:val="32"/>
        </w:rPr>
        <w:t>年度一般公共预算财政拨款“三公”经费支出决算表</w:t>
      </w:r>
    </w:p>
    <w:p w14:paraId="5E2B983E">
      <w:pPr>
        <w:jc w:val="right"/>
        <w:rPr>
          <w:rFonts w:hint="default" w:ascii="Times New Roman" w:hAnsi="Times New Roman" w:eastAsia="黑体" w:cs="Times New Roman"/>
          <w:color w:val="auto"/>
          <w:szCs w:val="32"/>
        </w:rPr>
      </w:pPr>
      <w:r>
        <w:rPr>
          <w:rFonts w:hint="default" w:ascii="Times New Roman" w:hAnsi="Times New Roman" w:cs="Times New Roman"/>
          <w:color w:val="auto"/>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46D7E877">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59A8D31E">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A86A75D">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1956E5F8">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决 算 数</w:t>
            </w:r>
          </w:p>
        </w:tc>
      </w:tr>
      <w:tr w14:paraId="731C9A2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70CDB731">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14:paraId="1C2E9180">
            <w:pPr>
              <w:widowControl/>
              <w:jc w:val="center"/>
              <w:rPr>
                <w:rFonts w:hint="default" w:ascii="Times New Roman" w:hAnsi="Times New Roman" w:cs="Times New Roman"/>
                <w:b/>
                <w:bCs/>
                <w:color w:val="auto"/>
                <w:kern w:val="0"/>
                <w:szCs w:val="21"/>
                <w:lang w:val="en-US"/>
              </w:rPr>
            </w:pPr>
            <w:r>
              <w:rPr>
                <w:rFonts w:hint="default" w:ascii="Times New Roman" w:hAnsi="Times New Roman" w:cs="Times New Roman"/>
                <w:b/>
                <w:bCs/>
                <w:color w:val="auto"/>
                <w:kern w:val="0"/>
                <w:szCs w:val="21"/>
                <w:lang w:val="en-US" w:eastAsia="zh-CN"/>
              </w:rPr>
              <w:t>6.4</w:t>
            </w:r>
          </w:p>
        </w:tc>
        <w:tc>
          <w:tcPr>
            <w:tcW w:w="2220" w:type="dxa"/>
            <w:tcBorders>
              <w:top w:val="nil"/>
              <w:left w:val="nil"/>
              <w:bottom w:val="single" w:color="auto" w:sz="4" w:space="0"/>
              <w:right w:val="single" w:color="auto" w:sz="4" w:space="0"/>
            </w:tcBorders>
            <w:noWrap w:val="0"/>
            <w:vAlign w:val="center"/>
          </w:tcPr>
          <w:p w14:paraId="0C0BA33A">
            <w:pPr>
              <w:widowControl/>
              <w:jc w:val="center"/>
              <w:rPr>
                <w:rFonts w:hint="default" w:ascii="Times New Roman" w:hAnsi="Times New Roman" w:cs="Times New Roman"/>
                <w:b/>
                <w:bCs/>
                <w:color w:val="auto"/>
                <w:kern w:val="0"/>
                <w:szCs w:val="21"/>
                <w:lang w:val="en-US"/>
              </w:rPr>
            </w:pPr>
            <w:r>
              <w:rPr>
                <w:rFonts w:hint="default" w:ascii="Times New Roman" w:hAnsi="Times New Roman" w:cs="Times New Roman"/>
                <w:b/>
                <w:bCs/>
                <w:color w:val="auto"/>
                <w:kern w:val="0"/>
                <w:szCs w:val="21"/>
                <w:lang w:val="en-US" w:eastAsia="zh-CN"/>
              </w:rPr>
              <w:t>5.45</w:t>
            </w:r>
          </w:p>
        </w:tc>
      </w:tr>
      <w:tr w14:paraId="4AB4D42E">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0E8F7F7">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7E705DD8">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0576B63C">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0</w:t>
            </w:r>
          </w:p>
        </w:tc>
      </w:tr>
      <w:tr w14:paraId="56D1713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2B447AD">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14:paraId="73F9C375">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3.4</w:t>
            </w:r>
          </w:p>
        </w:tc>
        <w:tc>
          <w:tcPr>
            <w:tcW w:w="2220" w:type="dxa"/>
            <w:tcBorders>
              <w:top w:val="nil"/>
              <w:left w:val="nil"/>
              <w:bottom w:val="single" w:color="auto" w:sz="4" w:space="0"/>
              <w:right w:val="single" w:color="auto" w:sz="4" w:space="0"/>
            </w:tcBorders>
            <w:noWrap w:val="0"/>
            <w:vAlign w:val="bottom"/>
          </w:tcPr>
          <w:p w14:paraId="68E771E2">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3.08</w:t>
            </w:r>
          </w:p>
        </w:tc>
      </w:tr>
      <w:tr w14:paraId="252056F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D687840">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1B8BB224">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3</w:t>
            </w:r>
          </w:p>
        </w:tc>
        <w:tc>
          <w:tcPr>
            <w:tcW w:w="2220" w:type="dxa"/>
            <w:tcBorders>
              <w:top w:val="nil"/>
              <w:left w:val="nil"/>
              <w:bottom w:val="single" w:color="auto" w:sz="4" w:space="0"/>
              <w:right w:val="single" w:color="auto" w:sz="4" w:space="0"/>
            </w:tcBorders>
            <w:noWrap w:val="0"/>
            <w:vAlign w:val="bottom"/>
          </w:tcPr>
          <w:p w14:paraId="57B259C5">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2.37</w:t>
            </w:r>
          </w:p>
        </w:tc>
      </w:tr>
      <w:tr w14:paraId="1577D6E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1756171">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43294F2D">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0</w:t>
            </w:r>
          </w:p>
        </w:tc>
        <w:tc>
          <w:tcPr>
            <w:tcW w:w="2220" w:type="dxa"/>
            <w:tcBorders>
              <w:top w:val="nil"/>
              <w:left w:val="nil"/>
              <w:bottom w:val="single" w:color="auto" w:sz="4" w:space="0"/>
              <w:right w:val="single" w:color="auto" w:sz="4" w:space="0"/>
            </w:tcBorders>
            <w:noWrap w:val="0"/>
            <w:vAlign w:val="bottom"/>
          </w:tcPr>
          <w:p w14:paraId="0F70CB40">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0</w:t>
            </w:r>
          </w:p>
        </w:tc>
      </w:tr>
      <w:tr w14:paraId="42E799C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437C404">
            <w:pPr>
              <w:widowControl/>
              <w:jc w:val="left"/>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4F589ABD">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3</w:t>
            </w:r>
          </w:p>
        </w:tc>
        <w:tc>
          <w:tcPr>
            <w:tcW w:w="2220" w:type="dxa"/>
            <w:tcBorders>
              <w:top w:val="nil"/>
              <w:left w:val="nil"/>
              <w:bottom w:val="single" w:color="auto" w:sz="4" w:space="0"/>
              <w:right w:val="single" w:color="auto" w:sz="4" w:space="0"/>
            </w:tcBorders>
            <w:noWrap w:val="0"/>
            <w:vAlign w:val="bottom"/>
          </w:tcPr>
          <w:p w14:paraId="16882506">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cs="Times New Roman"/>
                <w:color w:val="auto"/>
                <w:kern w:val="0"/>
                <w:szCs w:val="21"/>
                <w:lang w:val="en-US" w:eastAsia="zh-CN"/>
              </w:rPr>
              <w:t>2.37</w:t>
            </w:r>
          </w:p>
        </w:tc>
      </w:tr>
    </w:tbl>
    <w:p w14:paraId="30761F7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cs="Times New Roman"/>
          <w:color w:val="auto"/>
          <w:sz w:val="21"/>
          <w:szCs w:val="21"/>
          <w:lang w:val="en-US" w:eastAsia="zh-CN"/>
        </w:rPr>
      </w:pPr>
    </w:p>
    <w:p w14:paraId="6243AB9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黑体" w:cs="Times New Roman"/>
          <w:color w:val="auto"/>
          <w:szCs w:val="32"/>
        </w:rPr>
      </w:pPr>
      <w:r>
        <w:rPr>
          <w:rFonts w:hint="default" w:ascii="Times New Roman" w:hAnsi="Times New Roman" w:cs="Times New Roman"/>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color w:val="auto"/>
          <w:sz w:val="21"/>
          <w:szCs w:val="21"/>
          <w:lang w:eastAsia="zh-CN"/>
        </w:rPr>
        <w:t xml:space="preserve"> </w:t>
      </w:r>
      <w:r>
        <w:rPr>
          <w:rFonts w:hint="default" w:ascii="Times New Roman" w:hAnsi="Times New Roman" w:cs="Times New Roman"/>
          <w:color w:val="auto"/>
          <w:szCs w:val="32"/>
          <w:lang w:eastAsia="zh-CN"/>
        </w:rPr>
        <w:t xml:space="preserve"> </w:t>
      </w:r>
      <w:r>
        <w:rPr>
          <w:rFonts w:hint="default" w:ascii="Times New Roman" w:hAnsi="Times New Roman" w:eastAsia="黑体" w:cs="Times New Roman"/>
          <w:color w:val="auto"/>
          <w:szCs w:val="32"/>
        </w:rPr>
        <w:t xml:space="preserve">                                      </w:t>
      </w:r>
    </w:p>
    <w:p w14:paraId="5C8909AA">
      <w:pPr>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 xml:space="preserve">    二、</w:t>
      </w:r>
      <w:r>
        <w:rPr>
          <w:rFonts w:hint="default" w:ascii="Times New Roman" w:hAnsi="Times New Roman" w:eastAsia="黑体" w:cs="Times New Roman"/>
          <w:color w:val="auto"/>
          <w:szCs w:val="32"/>
          <w:lang w:eastAsia="zh-CN"/>
        </w:rPr>
        <w:t>202</w:t>
      </w:r>
      <w:r>
        <w:rPr>
          <w:rFonts w:hint="default" w:ascii="Times New Roman" w:hAnsi="Times New Roman" w:eastAsia="黑体" w:cs="Times New Roman"/>
          <w:color w:val="auto"/>
          <w:szCs w:val="32"/>
          <w:lang w:val="en-US" w:eastAsia="zh-CN"/>
        </w:rPr>
        <w:t>4</w:t>
      </w:r>
      <w:r>
        <w:rPr>
          <w:rFonts w:hint="default" w:ascii="Times New Roman" w:hAnsi="Times New Roman" w:eastAsia="黑体" w:cs="Times New Roman"/>
          <w:color w:val="auto"/>
          <w:szCs w:val="32"/>
        </w:rPr>
        <w:t>年度一般公共预算财政拨款“三公”经费支出情况说明</w:t>
      </w:r>
    </w:p>
    <w:p w14:paraId="3D193379">
      <w:pPr>
        <w:ind w:firstLine="643" w:firstLineChars="200"/>
        <w:rPr>
          <w:rFonts w:hint="default" w:ascii="Times New Roman" w:hAnsi="Times New Roman" w:cs="Times New Roman"/>
          <w:b/>
          <w:color w:val="auto"/>
          <w:szCs w:val="32"/>
        </w:rPr>
      </w:pPr>
      <w:r>
        <w:rPr>
          <w:rFonts w:hint="default" w:ascii="Times New Roman" w:hAnsi="Times New Roman" w:cs="Times New Roman"/>
          <w:b/>
          <w:color w:val="auto"/>
          <w:szCs w:val="32"/>
        </w:rPr>
        <w:t>（一）一般公共预算财政拨款“三公”经费支出决算总体情况说明。</w:t>
      </w:r>
    </w:p>
    <w:p w14:paraId="09700A6E">
      <w:pPr>
        <w:ind w:firstLine="640" w:firstLineChars="200"/>
        <w:rPr>
          <w:rFonts w:hint="default" w:ascii="Times New Roman" w:hAnsi="Times New Roman" w:eastAsia="楷体_GB2312" w:cs="Times New Roman"/>
          <w:color w:val="000000" w:themeColor="text1"/>
          <w:szCs w:val="32"/>
          <w14:textFill>
            <w14:solidFill>
              <w14:schemeClr w14:val="tx1"/>
            </w14:solidFill>
          </w14:textFill>
        </w:rPr>
      </w:pPr>
      <w:r>
        <w:rPr>
          <w:rFonts w:hint="default" w:ascii="Times New Roman" w:hAnsi="Times New Roman" w:cs="Times New Roman"/>
          <w:color w:val="auto"/>
          <w:szCs w:val="32"/>
          <w:lang w:eastAsia="zh-CN"/>
        </w:rPr>
        <w:t>黄山市屯溪区</w:t>
      </w:r>
      <w:r>
        <w:rPr>
          <w:rFonts w:hint="default" w:ascii="Times New Roman" w:hAnsi="Times New Roman" w:cs="Times New Roman"/>
          <w:color w:val="auto"/>
          <w:szCs w:val="32"/>
          <w:lang w:val="en-US" w:eastAsia="zh-CN"/>
        </w:rPr>
        <w:t>委宣传部</w:t>
      </w:r>
      <w:r>
        <w:rPr>
          <w:rFonts w:hint="default" w:ascii="Times New Roman" w:hAnsi="Times New Roman" w:cs="Times New Roman"/>
          <w:color w:val="auto"/>
          <w:szCs w:val="32"/>
          <w:lang w:eastAsia="zh-CN"/>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年度一般公共预算财政拨款“三公”经费支出预算为</w:t>
      </w:r>
      <w:r>
        <w:rPr>
          <w:rFonts w:hint="default" w:ascii="Times New Roman" w:hAnsi="Times New Roman" w:cs="Times New Roman"/>
          <w:color w:val="auto"/>
          <w:szCs w:val="32"/>
          <w:lang w:val="en-US" w:eastAsia="zh-CN"/>
        </w:rPr>
        <w:t>6.4</w:t>
      </w:r>
      <w:r>
        <w:rPr>
          <w:rFonts w:hint="default" w:ascii="Times New Roman" w:hAnsi="Times New Roman" w:cs="Times New Roman"/>
          <w:color w:val="auto"/>
          <w:szCs w:val="32"/>
        </w:rPr>
        <w:t>万元，支出决算</w:t>
      </w:r>
      <w:r>
        <w:rPr>
          <w:rFonts w:hint="default" w:ascii="Times New Roman" w:hAnsi="Times New Roman" w:cs="Times New Roman"/>
          <w:color w:val="auto"/>
          <w:szCs w:val="32"/>
          <w:lang w:eastAsia="zh-CN"/>
        </w:rPr>
        <w:t>为</w:t>
      </w:r>
      <w:r>
        <w:rPr>
          <w:rFonts w:hint="default" w:ascii="Times New Roman" w:hAnsi="Times New Roman" w:cs="Times New Roman"/>
          <w:color w:val="auto"/>
          <w:szCs w:val="32"/>
          <w:lang w:val="en-US" w:eastAsia="zh-CN"/>
        </w:rPr>
        <w:t>5.45</w:t>
      </w:r>
      <w:r>
        <w:rPr>
          <w:rFonts w:hint="default" w:ascii="Times New Roman" w:hAnsi="Times New Roman" w:cs="Times New Roman"/>
          <w:color w:val="auto"/>
          <w:szCs w:val="32"/>
        </w:rPr>
        <w:t>万元，完成预算的</w:t>
      </w:r>
      <w:r>
        <w:rPr>
          <w:rFonts w:hint="default" w:ascii="Times New Roman" w:hAnsi="Times New Roman" w:cs="Times New Roman"/>
          <w:color w:val="auto"/>
          <w:szCs w:val="32"/>
          <w:lang w:val="en-US" w:eastAsia="zh-CN"/>
        </w:rPr>
        <w:t>85.2</w:t>
      </w:r>
      <w:r>
        <w:rPr>
          <w:rFonts w:hint="default" w:ascii="Times New Roman" w:hAnsi="Times New Roman" w:cs="Times New Roman"/>
          <w:color w:val="auto"/>
          <w:szCs w:val="32"/>
        </w:rPr>
        <w:t>%</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u w:val="none"/>
          <w:lang w:eastAsia="zh-CN"/>
        </w:rPr>
        <w:t>较上年减少</w:t>
      </w:r>
      <w:r>
        <w:rPr>
          <w:rFonts w:hint="default" w:ascii="Times New Roman" w:hAnsi="Times New Roman" w:cs="Times New Roman"/>
          <w:color w:val="auto"/>
          <w:szCs w:val="32"/>
          <w:u w:val="none"/>
          <w:lang w:val="en-US" w:eastAsia="zh-CN"/>
        </w:rPr>
        <w:t>0.31</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，减少</w:t>
      </w:r>
      <w:r>
        <w:rPr>
          <w:rFonts w:hint="default" w:ascii="Times New Roman" w:hAnsi="Times New Roman" w:cs="Times New Roman"/>
          <w:color w:val="auto"/>
          <w:szCs w:val="32"/>
          <w:u w:val="none"/>
          <w:lang w:val="en-US" w:eastAsia="zh-CN"/>
        </w:rPr>
        <w:t>5.4%。</w:t>
      </w:r>
      <w:r>
        <w:rPr>
          <w:rFonts w:hint="default" w:ascii="Times New Roman" w:hAnsi="Times New Roman" w:cs="Times New Roman"/>
          <w:color w:val="auto"/>
          <w:szCs w:val="32"/>
          <w:u w:val="none"/>
        </w:rPr>
        <w:t>决算数</w:t>
      </w:r>
      <w:r>
        <w:rPr>
          <w:rFonts w:hint="default" w:ascii="Times New Roman" w:hAnsi="Times New Roman" w:cs="Times New Roman"/>
          <w:color w:val="auto"/>
          <w:szCs w:val="32"/>
          <w:u w:val="none"/>
          <w:lang w:eastAsia="zh-CN"/>
        </w:rPr>
        <w:t>小</w:t>
      </w:r>
      <w:r>
        <w:rPr>
          <w:rFonts w:hint="default" w:ascii="Times New Roman" w:hAnsi="Times New Roman" w:cs="Times New Roman"/>
          <w:color w:val="auto"/>
          <w:szCs w:val="32"/>
          <w:u w:val="none"/>
        </w:rPr>
        <w:t>于预算数的主要原因是</w:t>
      </w:r>
      <w:r>
        <w:rPr>
          <w:rFonts w:hint="default" w:ascii="Times New Roman" w:hAnsi="Times New Roman" w:cs="Times New Roman"/>
          <w:color w:val="auto"/>
          <w:szCs w:val="32"/>
          <w:u w:val="none"/>
          <w:lang w:val="en-US" w:eastAsia="zh-CN"/>
        </w:rPr>
        <w:t>减少了相关</w:t>
      </w:r>
      <w:r>
        <w:rPr>
          <w:rFonts w:hint="default" w:ascii="Times New Roman" w:hAnsi="Times New Roman" w:cs="Times New Roman"/>
          <w:color w:val="000000" w:themeColor="text1"/>
          <w:szCs w:val="32"/>
          <w:u w:val="none"/>
          <w:lang w:val="en-US" w:eastAsia="zh-CN"/>
          <w14:textFill>
            <w14:solidFill>
              <w14:schemeClr w14:val="tx1"/>
            </w14:solidFill>
          </w14:textFill>
        </w:rPr>
        <w:t>支出</w:t>
      </w:r>
      <w:r>
        <w:rPr>
          <w:rFonts w:hint="default" w:ascii="Times New Roman" w:hAnsi="Times New Roman" w:cs="Times New Roman"/>
          <w:color w:val="000000" w:themeColor="text1"/>
          <w:szCs w:val="32"/>
          <w:u w:val="none"/>
          <w14:textFill>
            <w14:solidFill>
              <w14:schemeClr w14:val="tx1"/>
            </w14:solidFill>
          </w14:textFill>
        </w:rPr>
        <w:t>。决算数</w:t>
      </w:r>
      <w:r>
        <w:rPr>
          <w:rFonts w:hint="default" w:ascii="Times New Roman" w:hAnsi="Times New Roman" w:cs="Times New Roman"/>
          <w:color w:val="000000" w:themeColor="text1"/>
          <w:szCs w:val="32"/>
          <w:u w:val="none"/>
          <w:lang w:eastAsia="zh-CN"/>
          <w14:textFill>
            <w14:solidFill>
              <w14:schemeClr w14:val="tx1"/>
            </w14:solidFill>
          </w14:textFill>
        </w:rPr>
        <w:t>较上年减少</w:t>
      </w:r>
      <w:r>
        <w:rPr>
          <w:rFonts w:hint="default" w:ascii="Times New Roman" w:hAnsi="Times New Roman" w:cs="Times New Roman"/>
          <w:color w:val="000000" w:themeColor="text1"/>
          <w:szCs w:val="32"/>
          <w:u w:val="none"/>
          <w14:textFill>
            <w14:solidFill>
              <w14:schemeClr w14:val="tx1"/>
            </w14:solidFill>
          </w14:textFill>
        </w:rPr>
        <w:t>的主要原因是</w:t>
      </w:r>
      <w:r>
        <w:rPr>
          <w:rFonts w:hint="default" w:ascii="Times New Roman" w:hAnsi="Times New Roman" w:cs="Times New Roman"/>
          <w:color w:val="000000" w:themeColor="text1"/>
          <w:szCs w:val="32"/>
          <w:u w:val="none"/>
          <w:lang w:eastAsia="zh-CN"/>
          <w14:textFill>
            <w14:solidFill>
              <w14:schemeClr w14:val="tx1"/>
            </w14:solidFill>
          </w14:textFill>
        </w:rPr>
        <w:t>公车维护费减少</w:t>
      </w:r>
      <w:r>
        <w:rPr>
          <w:rFonts w:hint="default" w:ascii="Times New Roman" w:hAnsi="Times New Roman" w:cs="Times New Roman"/>
          <w:color w:val="000000" w:themeColor="text1"/>
          <w:szCs w:val="32"/>
          <w:u w:val="none"/>
          <w14:textFill>
            <w14:solidFill>
              <w14:schemeClr w14:val="tx1"/>
            </w14:solidFill>
          </w14:textFill>
        </w:rPr>
        <w:t>。</w:t>
      </w:r>
    </w:p>
    <w:p w14:paraId="2D9AD2F1">
      <w:pPr>
        <w:ind w:firstLine="643" w:firstLineChars="200"/>
        <w:rPr>
          <w:rFonts w:hint="default" w:ascii="Times New Roman" w:hAnsi="Times New Roman" w:cs="Times New Roman"/>
          <w:b/>
          <w:color w:val="auto"/>
          <w:szCs w:val="32"/>
        </w:rPr>
      </w:pPr>
      <w:r>
        <w:rPr>
          <w:rFonts w:hint="default" w:ascii="Times New Roman" w:hAnsi="Times New Roman" w:cs="Times New Roman"/>
          <w:b/>
          <w:bCs/>
          <w:color w:val="auto"/>
          <w:szCs w:val="32"/>
        </w:rPr>
        <w:t>（二）</w:t>
      </w:r>
      <w:r>
        <w:rPr>
          <w:rFonts w:hint="default" w:ascii="Times New Roman" w:hAnsi="Times New Roman" w:cs="Times New Roman"/>
          <w:b/>
          <w:color w:val="auto"/>
          <w:szCs w:val="32"/>
        </w:rPr>
        <w:t>一般公共预算财政拨款“三公”经费支出决算具体情况说明。</w:t>
      </w:r>
    </w:p>
    <w:p w14:paraId="5A20A84A">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lang w:eastAsia="zh-CN"/>
        </w:rPr>
        <w:t>黄山市屯溪</w:t>
      </w:r>
      <w:r>
        <w:rPr>
          <w:rFonts w:hint="default" w:ascii="Times New Roman" w:hAnsi="Times New Roman" w:cs="Times New Roman"/>
          <w:color w:val="auto"/>
          <w:szCs w:val="32"/>
          <w:lang w:val="en-US" w:eastAsia="zh-CN"/>
        </w:rPr>
        <w:t>区委宣传部</w:t>
      </w:r>
      <w:r>
        <w:rPr>
          <w:rFonts w:hint="default" w:ascii="Times New Roman" w:hAnsi="Times New Roman" w:cs="Times New Roman"/>
          <w:color w:val="auto"/>
          <w:szCs w:val="32"/>
          <w:lang w:eastAsia="zh-CN"/>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年度一般公共预算财政拨款“三公”经费支出决算中，因公出国（境）费支出决算</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%;公务接待费支出决算</w:t>
      </w:r>
      <w:r>
        <w:rPr>
          <w:rFonts w:hint="default" w:ascii="Times New Roman" w:hAnsi="Times New Roman" w:cs="Times New Roman"/>
          <w:color w:val="auto"/>
          <w:szCs w:val="32"/>
          <w:lang w:val="en-US" w:eastAsia="zh-CN"/>
        </w:rPr>
        <w:t>3.08</w:t>
      </w:r>
      <w:r>
        <w:rPr>
          <w:rFonts w:hint="default" w:ascii="Times New Roman" w:hAnsi="Times New Roman" w:cs="Times New Roman"/>
          <w:color w:val="auto"/>
          <w:szCs w:val="32"/>
        </w:rPr>
        <w:t>元，占</w:t>
      </w:r>
      <w:r>
        <w:rPr>
          <w:rFonts w:hint="default" w:ascii="Times New Roman" w:hAnsi="Times New Roman" w:cs="Times New Roman"/>
          <w:color w:val="auto"/>
          <w:szCs w:val="32"/>
          <w:lang w:val="en-US" w:eastAsia="zh-CN"/>
        </w:rPr>
        <w:t>56.51</w:t>
      </w:r>
      <w:r>
        <w:rPr>
          <w:rFonts w:hint="default" w:ascii="Times New Roman" w:hAnsi="Times New Roman" w:cs="Times New Roman"/>
          <w:color w:val="auto"/>
          <w:szCs w:val="32"/>
        </w:rPr>
        <w:t>%；公务用车购置及运行维护费支出决算</w:t>
      </w:r>
      <w:r>
        <w:rPr>
          <w:rFonts w:hint="default" w:ascii="Times New Roman" w:hAnsi="Times New Roman" w:cs="Times New Roman"/>
          <w:color w:val="auto"/>
          <w:szCs w:val="32"/>
          <w:lang w:val="en-US" w:eastAsia="zh-CN"/>
        </w:rPr>
        <w:t>2.37</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43.49</w:t>
      </w:r>
      <w:r>
        <w:rPr>
          <w:rFonts w:hint="default" w:ascii="Times New Roman" w:hAnsi="Times New Roman" w:cs="Times New Roman"/>
          <w:color w:val="auto"/>
          <w:szCs w:val="32"/>
        </w:rPr>
        <w:t>%。具体情况如下：</w:t>
      </w:r>
    </w:p>
    <w:p w14:paraId="399CF353">
      <w:pPr>
        <w:ind w:firstLine="628"/>
        <w:rPr>
          <w:rFonts w:hint="default" w:ascii="Times New Roman" w:hAnsi="Times New Roman" w:cs="Times New Roman"/>
          <w:color w:val="auto"/>
          <w:szCs w:val="32"/>
        </w:rPr>
      </w:pPr>
      <w:r>
        <w:rPr>
          <w:rFonts w:hint="default" w:ascii="Times New Roman" w:hAnsi="Times New Roman" w:cs="Times New Roman"/>
          <w:b/>
          <w:bCs/>
          <w:color w:val="auto"/>
          <w:szCs w:val="32"/>
        </w:rPr>
        <w:t>1.因公出国（境）费</w:t>
      </w:r>
      <w:r>
        <w:rPr>
          <w:rFonts w:hint="default" w:ascii="Times New Roman" w:hAnsi="Times New Roman" w:cs="Times New Roman"/>
          <w:color w:val="auto"/>
          <w:szCs w:val="32"/>
          <w:lang w:eastAsia="zh-CN"/>
        </w:rPr>
        <w:t>预算为</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lang w:eastAsia="zh-CN"/>
        </w:rPr>
        <w:t>万元，支出决算为</w:t>
      </w:r>
      <w:r>
        <w:rPr>
          <w:rFonts w:hint="default" w:ascii="Times New Roman" w:hAnsi="Times New Roman" w:cs="Times New Roman"/>
          <w:color w:val="auto"/>
          <w:szCs w:val="32"/>
          <w:lang w:val="en-US" w:eastAsia="zh-CN"/>
        </w:rPr>
        <w:t>0万元</w:t>
      </w:r>
      <w:r>
        <w:rPr>
          <w:rFonts w:hint="default" w:ascii="Times New Roman" w:hAnsi="Times New Roman" w:cs="Times New Roman"/>
          <w:color w:val="auto"/>
          <w:szCs w:val="32"/>
          <w:lang w:eastAsia="zh-CN"/>
        </w:rPr>
        <w:t>，完成预算的</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与去年持平。</w:t>
      </w:r>
    </w:p>
    <w:p w14:paraId="07613E82">
      <w:pPr>
        <w:ind w:firstLine="643" w:firstLineChars="200"/>
        <w:rPr>
          <w:rFonts w:hint="default" w:ascii="Times New Roman" w:hAnsi="Times New Roman" w:cs="Times New Roman"/>
          <w:color w:val="auto"/>
          <w:szCs w:val="32"/>
        </w:rPr>
      </w:pPr>
      <w:r>
        <w:rPr>
          <w:rFonts w:hint="default" w:ascii="Times New Roman" w:hAnsi="Times New Roman" w:cs="Times New Roman"/>
          <w:b/>
          <w:bCs/>
          <w:color w:val="auto"/>
          <w:szCs w:val="32"/>
        </w:rPr>
        <w:t>2.公务接待费</w:t>
      </w:r>
      <w:r>
        <w:rPr>
          <w:rFonts w:hint="default" w:ascii="Times New Roman" w:hAnsi="Times New Roman" w:cs="Times New Roman"/>
          <w:color w:val="auto"/>
          <w:szCs w:val="32"/>
          <w:lang w:eastAsia="zh-CN"/>
        </w:rPr>
        <w:t>预算为</w:t>
      </w:r>
      <w:r>
        <w:rPr>
          <w:rFonts w:hint="default" w:ascii="Times New Roman" w:hAnsi="Times New Roman" w:cs="Times New Roman"/>
          <w:color w:val="auto"/>
          <w:szCs w:val="32"/>
          <w:lang w:val="en-US" w:eastAsia="zh-CN"/>
        </w:rPr>
        <w:t>3.4</w:t>
      </w:r>
      <w:r>
        <w:rPr>
          <w:rFonts w:hint="default" w:ascii="Times New Roman" w:hAnsi="Times New Roman" w:cs="Times New Roman"/>
          <w:color w:val="auto"/>
          <w:szCs w:val="32"/>
          <w:lang w:eastAsia="zh-CN"/>
        </w:rPr>
        <w:t>万元，支出决算为</w:t>
      </w:r>
      <w:r>
        <w:rPr>
          <w:rFonts w:hint="default" w:ascii="Times New Roman" w:hAnsi="Times New Roman" w:cs="Times New Roman"/>
          <w:color w:val="auto"/>
          <w:szCs w:val="32"/>
          <w:lang w:val="en-US" w:eastAsia="zh-CN"/>
        </w:rPr>
        <w:t>3.08万元</w:t>
      </w:r>
      <w:r>
        <w:rPr>
          <w:rFonts w:hint="default" w:ascii="Times New Roman" w:hAnsi="Times New Roman" w:cs="Times New Roman"/>
          <w:color w:val="auto"/>
          <w:szCs w:val="32"/>
          <w:lang w:eastAsia="zh-CN"/>
        </w:rPr>
        <w:t>，完成预算的</w:t>
      </w:r>
      <w:r>
        <w:rPr>
          <w:rFonts w:hint="default" w:ascii="Times New Roman" w:hAnsi="Times New Roman" w:cs="Times New Roman"/>
          <w:color w:val="auto"/>
          <w:szCs w:val="32"/>
          <w:lang w:val="en-US" w:eastAsia="zh-CN"/>
        </w:rPr>
        <w:t>90.6</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u w:val="none"/>
          <w:lang w:eastAsia="zh-CN"/>
        </w:rPr>
        <w:t>较上年增加</w:t>
      </w:r>
      <w:r>
        <w:rPr>
          <w:rFonts w:hint="default" w:ascii="Times New Roman" w:hAnsi="Times New Roman" w:cs="Times New Roman"/>
          <w:color w:val="auto"/>
          <w:szCs w:val="32"/>
          <w:u w:val="none"/>
          <w:lang w:val="en-US" w:eastAsia="zh-CN"/>
        </w:rPr>
        <w:t>0.06</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，增长</w:t>
      </w:r>
      <w:r>
        <w:rPr>
          <w:rFonts w:hint="default" w:ascii="Times New Roman" w:hAnsi="Times New Roman" w:cs="Times New Roman"/>
          <w:color w:val="auto"/>
          <w:szCs w:val="32"/>
          <w:u w:val="none"/>
          <w:lang w:val="en-US" w:eastAsia="zh-CN"/>
        </w:rPr>
        <w:t>1.98</w:t>
      </w:r>
      <w:r>
        <w:rPr>
          <w:rFonts w:hint="default" w:ascii="Times New Roman" w:hAnsi="Times New Roman" w:cs="Times New Roman"/>
          <w:color w:val="000000" w:themeColor="text1"/>
          <w:szCs w:val="32"/>
          <w:u w:val="none"/>
          <w:lang w:val="en-US" w:eastAsia="zh-CN"/>
          <w14:textFill>
            <w14:solidFill>
              <w14:schemeClr w14:val="tx1"/>
            </w14:solidFill>
          </w14:textFill>
        </w:rPr>
        <w:t>%。</w:t>
      </w:r>
      <w:r>
        <w:rPr>
          <w:rFonts w:hint="default" w:ascii="Times New Roman" w:hAnsi="Times New Roman" w:cs="Times New Roman"/>
          <w:color w:val="000000" w:themeColor="text1"/>
          <w:szCs w:val="32"/>
          <w:u w:val="none"/>
          <w14:textFill>
            <w14:solidFill>
              <w14:schemeClr w14:val="tx1"/>
            </w14:solidFill>
          </w14:textFill>
        </w:rPr>
        <w:t>决算数</w:t>
      </w:r>
      <w:r>
        <w:rPr>
          <w:rFonts w:hint="default" w:ascii="Times New Roman" w:hAnsi="Times New Roman" w:cs="Times New Roman"/>
          <w:color w:val="000000" w:themeColor="text1"/>
          <w:szCs w:val="32"/>
          <w:u w:val="none"/>
          <w:lang w:eastAsia="zh-CN"/>
          <w14:textFill>
            <w14:solidFill>
              <w14:schemeClr w14:val="tx1"/>
            </w14:solidFill>
          </w14:textFill>
        </w:rPr>
        <w:t>大于</w:t>
      </w:r>
      <w:r>
        <w:rPr>
          <w:rFonts w:hint="default" w:ascii="Times New Roman" w:hAnsi="Times New Roman" w:cs="Times New Roman"/>
          <w:color w:val="000000" w:themeColor="text1"/>
          <w:szCs w:val="32"/>
          <w:u w:val="none"/>
          <w14:textFill>
            <w14:solidFill>
              <w14:schemeClr w14:val="tx1"/>
            </w14:solidFill>
          </w14:textFill>
        </w:rPr>
        <w:t>预算数的主要原因是</w:t>
      </w:r>
      <w:r>
        <w:rPr>
          <w:rFonts w:hint="default" w:ascii="Times New Roman" w:hAnsi="Times New Roman" w:cs="Times New Roman"/>
          <w:color w:val="000000" w:themeColor="text1"/>
          <w:szCs w:val="32"/>
          <w:u w:val="none"/>
          <w:lang w:eastAsia="zh-CN"/>
          <w14:textFill>
            <w14:solidFill>
              <w14:schemeClr w14:val="tx1"/>
            </w14:solidFill>
          </w14:textFill>
        </w:rPr>
        <w:t>增加</w:t>
      </w:r>
      <w:r>
        <w:rPr>
          <w:rFonts w:hint="default" w:ascii="Times New Roman" w:hAnsi="Times New Roman" w:cs="Times New Roman"/>
          <w:color w:val="000000" w:themeColor="text1"/>
          <w:szCs w:val="32"/>
          <w:u w:val="none"/>
          <w14:textFill>
            <w14:solidFill>
              <w14:schemeClr w14:val="tx1"/>
            </w14:solidFill>
          </w14:textFill>
        </w:rPr>
        <w:t>公务接待。决算数</w:t>
      </w:r>
      <w:r>
        <w:rPr>
          <w:rFonts w:hint="default" w:ascii="Times New Roman" w:hAnsi="Times New Roman" w:cs="Times New Roman"/>
          <w:color w:val="000000" w:themeColor="text1"/>
          <w:szCs w:val="32"/>
          <w:u w:val="none"/>
          <w:lang w:eastAsia="zh-CN"/>
          <w14:textFill>
            <w14:solidFill>
              <w14:schemeClr w14:val="tx1"/>
            </w14:solidFill>
          </w14:textFill>
        </w:rPr>
        <w:t>较上年增加</w:t>
      </w:r>
      <w:r>
        <w:rPr>
          <w:rFonts w:hint="default" w:ascii="Times New Roman" w:hAnsi="Times New Roman" w:cs="Times New Roman"/>
          <w:color w:val="000000" w:themeColor="text1"/>
          <w:szCs w:val="32"/>
          <w:u w:val="none"/>
          <w14:textFill>
            <w14:solidFill>
              <w14:schemeClr w14:val="tx1"/>
            </w14:solidFill>
          </w14:textFill>
        </w:rPr>
        <w:t>的主要原因是外宣接待批次增加。</w:t>
      </w:r>
      <w:r>
        <w:rPr>
          <w:rFonts w:hint="default" w:ascii="Times New Roman" w:hAnsi="Times New Roman" w:cs="Times New Roman"/>
          <w:color w:val="000000" w:themeColor="text1"/>
          <w:szCs w:val="32"/>
          <w:lang w:eastAsia="zh-CN"/>
          <w14:textFill>
            <w14:solidFill>
              <w14:schemeClr w14:val="tx1"/>
            </w14:solidFill>
          </w14:textFill>
        </w:rPr>
        <w:t>202</w:t>
      </w:r>
      <w:r>
        <w:rPr>
          <w:rFonts w:hint="default" w:ascii="Times New Roman" w:hAnsi="Times New Roman" w:cs="Times New Roman"/>
          <w:color w:val="000000" w:themeColor="text1"/>
          <w:szCs w:val="32"/>
          <w:lang w:val="en-US" w:eastAsia="zh-CN"/>
          <w14:textFill>
            <w14:solidFill>
              <w14:schemeClr w14:val="tx1"/>
            </w14:solidFill>
          </w14:textFill>
        </w:rPr>
        <w:t>4</w:t>
      </w:r>
      <w:r>
        <w:rPr>
          <w:rFonts w:hint="default" w:ascii="Times New Roman" w:hAnsi="Times New Roman" w:cs="Times New Roman"/>
          <w:color w:val="000000" w:themeColor="text1"/>
          <w:szCs w:val="32"/>
          <w14:textFill>
            <w14:solidFill>
              <w14:schemeClr w14:val="tx1"/>
            </w14:solidFill>
          </w14:textFill>
        </w:rPr>
        <w:t>年</w:t>
      </w:r>
      <w:r>
        <w:rPr>
          <w:rFonts w:hint="default" w:ascii="Times New Roman" w:hAnsi="Times New Roman" w:cs="Times New Roman"/>
          <w:color w:val="000000" w:themeColor="text1"/>
          <w:szCs w:val="32"/>
          <w:lang w:eastAsia="zh-CN"/>
          <w14:textFill>
            <w14:solidFill>
              <w14:schemeClr w14:val="tx1"/>
            </w14:solidFill>
          </w14:textFill>
        </w:rPr>
        <w:t>黄山市屯溪区</w:t>
      </w:r>
      <w:r>
        <w:rPr>
          <w:rFonts w:hint="default" w:ascii="Times New Roman" w:hAnsi="Times New Roman" w:cs="Times New Roman"/>
          <w:color w:val="000000" w:themeColor="text1"/>
          <w:szCs w:val="32"/>
          <w:lang w:val="en-US" w:eastAsia="zh-CN"/>
          <w14:textFill>
            <w14:solidFill>
              <w14:schemeClr w14:val="tx1"/>
            </w14:solidFill>
          </w14:textFill>
        </w:rPr>
        <w:t>委宣传部</w:t>
      </w:r>
      <w:r>
        <w:rPr>
          <w:rFonts w:hint="default" w:ascii="Times New Roman" w:hAnsi="Times New Roman" w:cs="Times New Roman"/>
          <w:color w:val="000000" w:themeColor="text1"/>
          <w:szCs w:val="32"/>
          <w14:textFill>
            <w14:solidFill>
              <w14:schemeClr w14:val="tx1"/>
            </w14:solidFill>
          </w14:textFill>
        </w:rPr>
        <w:t>国内公务接待共</w:t>
      </w:r>
      <w:r>
        <w:rPr>
          <w:rFonts w:hint="default" w:ascii="Times New Roman" w:hAnsi="Times New Roman" w:cs="Times New Roman"/>
          <w:color w:val="000000" w:themeColor="text1"/>
          <w:szCs w:val="32"/>
          <w:lang w:val="en-US" w:eastAsia="zh-CN"/>
          <w14:textFill>
            <w14:solidFill>
              <w14:schemeClr w14:val="tx1"/>
            </w14:solidFill>
          </w14:textFill>
        </w:rPr>
        <w:t>100余</w:t>
      </w:r>
      <w:r>
        <w:rPr>
          <w:rFonts w:hint="default" w:ascii="Times New Roman" w:hAnsi="Times New Roman" w:cs="Times New Roman"/>
          <w:color w:val="000000" w:themeColor="text1"/>
          <w:szCs w:val="32"/>
          <w14:textFill>
            <w14:solidFill>
              <w14:schemeClr w14:val="tx1"/>
            </w14:solidFill>
          </w14:textFill>
        </w:rPr>
        <w:t>批次（其中外事接待</w:t>
      </w:r>
      <w:r>
        <w:rPr>
          <w:rFonts w:hint="default" w:ascii="Times New Roman" w:hAnsi="Times New Roman" w:cs="Times New Roman"/>
          <w:color w:val="000000" w:themeColor="text1"/>
          <w:szCs w:val="32"/>
          <w:lang w:val="en-US" w:eastAsia="zh-CN"/>
          <w14:textFill>
            <w14:solidFill>
              <w14:schemeClr w14:val="tx1"/>
            </w14:solidFill>
          </w14:textFill>
        </w:rPr>
        <w:t>0</w:t>
      </w:r>
      <w:r>
        <w:rPr>
          <w:rFonts w:hint="default" w:ascii="Times New Roman" w:hAnsi="Times New Roman" w:cs="Times New Roman"/>
          <w:color w:val="000000" w:themeColor="text1"/>
          <w:szCs w:val="32"/>
          <w14:textFill>
            <w14:solidFill>
              <w14:schemeClr w14:val="tx1"/>
            </w14:solidFill>
          </w14:textFill>
        </w:rPr>
        <w:t>批次），</w:t>
      </w:r>
      <w:r>
        <w:rPr>
          <w:rFonts w:hint="default" w:ascii="Times New Roman" w:hAnsi="Times New Roman" w:cs="Times New Roman"/>
          <w:color w:val="000000" w:themeColor="text1"/>
          <w:szCs w:val="32"/>
          <w:lang w:val="en-US" w:eastAsia="zh-CN"/>
          <w14:textFill>
            <w14:solidFill>
              <w14:schemeClr w14:val="tx1"/>
            </w14:solidFill>
          </w14:textFill>
        </w:rPr>
        <w:t>300余</w:t>
      </w:r>
      <w:r>
        <w:rPr>
          <w:rFonts w:hint="default" w:ascii="Times New Roman" w:hAnsi="Times New Roman" w:cs="Times New Roman"/>
          <w:color w:val="000000" w:themeColor="text1"/>
          <w:szCs w:val="32"/>
          <w14:textFill>
            <w14:solidFill>
              <w14:schemeClr w14:val="tx1"/>
            </w14:solidFill>
          </w14:textFill>
        </w:rPr>
        <w:t>人次（其中外事接待</w:t>
      </w:r>
      <w:r>
        <w:rPr>
          <w:rFonts w:hint="default" w:ascii="Times New Roman" w:hAnsi="Times New Roman" w:cs="Times New Roman"/>
          <w:color w:val="000000" w:themeColor="text1"/>
          <w:szCs w:val="32"/>
          <w:lang w:val="en-US" w:eastAsia="zh-CN"/>
          <w14:textFill>
            <w14:solidFill>
              <w14:schemeClr w14:val="tx1"/>
            </w14:solidFill>
          </w14:textFill>
        </w:rPr>
        <w:t>0</w:t>
      </w:r>
      <w:r>
        <w:rPr>
          <w:rFonts w:hint="default" w:ascii="Times New Roman" w:hAnsi="Times New Roman" w:cs="Times New Roman"/>
          <w:color w:val="000000" w:themeColor="text1"/>
          <w:szCs w:val="32"/>
          <w14:textFill>
            <w14:solidFill>
              <w14:schemeClr w14:val="tx1"/>
            </w14:solidFill>
          </w14:textFill>
        </w:rPr>
        <w:t>人次）。主要是用于用于新华社、中新社、安徽日报、安徽电视台接待采访工作。经费使用贯彻中央八项规定</w:t>
      </w:r>
      <w:r>
        <w:rPr>
          <w:rFonts w:hint="default" w:ascii="Times New Roman" w:hAnsi="Times New Roman" w:cs="Times New Roman"/>
          <w:color w:val="auto"/>
          <w:szCs w:val="32"/>
          <w:lang w:eastAsia="zh-CN"/>
        </w:rPr>
        <w:t>精神</w:t>
      </w:r>
      <w:r>
        <w:rPr>
          <w:rFonts w:hint="default" w:ascii="Times New Roman" w:hAnsi="Times New Roman" w:cs="Times New Roman"/>
          <w:color w:val="auto"/>
          <w:szCs w:val="32"/>
        </w:rPr>
        <w:t>和</w:t>
      </w:r>
      <w:r>
        <w:rPr>
          <w:rFonts w:hint="default" w:ascii="Times New Roman" w:hAnsi="Times New Roman" w:cs="Times New Roman"/>
          <w:color w:val="auto"/>
          <w:szCs w:val="32"/>
          <w:lang w:val="en-US" w:eastAsia="zh-CN"/>
        </w:rPr>
        <w:t>安徽</w:t>
      </w:r>
      <w:r>
        <w:rPr>
          <w:rFonts w:hint="default" w:ascii="Times New Roman" w:hAnsi="Times New Roman" w:cs="Times New Roman"/>
          <w:color w:val="auto"/>
          <w:szCs w:val="32"/>
        </w:rPr>
        <w:t>省实施细则，严格执行《党政机关厉行节约反对浪费条例》、《屯溪区党政机关国内公务考察及其接待管理暂行办法》（屯办〔2013〕35号）、《中共黄山市屯溪区委办公室 黄山市屯溪区人民政府办公室转发&lt;中共黄山市委办公厅 黄山市人民政府办公厅关于认真贯彻&lt;党政机关国内公务接待管理规定&gt;的通知&gt;》相关规定。</w:t>
      </w:r>
    </w:p>
    <w:p w14:paraId="1D37861A">
      <w:pPr>
        <w:ind w:firstLine="643"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b/>
          <w:bCs/>
          <w:color w:val="auto"/>
          <w:szCs w:val="32"/>
        </w:rPr>
        <w:t>3.公务用车购置及运行维护费</w:t>
      </w:r>
      <w:r>
        <w:rPr>
          <w:rFonts w:hint="default" w:ascii="Times New Roman" w:hAnsi="Times New Roman" w:cs="Times New Roman"/>
          <w:color w:val="auto"/>
          <w:szCs w:val="32"/>
          <w:lang w:eastAsia="zh-CN"/>
        </w:rPr>
        <w:t>预算为</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eastAsia="zh-CN"/>
        </w:rPr>
        <w:t>万元，支出决算为</w:t>
      </w:r>
      <w:r>
        <w:rPr>
          <w:rFonts w:hint="default" w:ascii="Times New Roman" w:hAnsi="Times New Roman" w:cs="Times New Roman"/>
          <w:color w:val="auto"/>
          <w:szCs w:val="32"/>
          <w:lang w:val="en-US" w:eastAsia="zh-CN"/>
        </w:rPr>
        <w:t>2.37万元</w:t>
      </w:r>
      <w:r>
        <w:rPr>
          <w:rFonts w:hint="default" w:ascii="Times New Roman" w:hAnsi="Times New Roman" w:cs="Times New Roman"/>
          <w:color w:val="auto"/>
          <w:szCs w:val="32"/>
          <w:lang w:eastAsia="zh-CN"/>
        </w:rPr>
        <w:t>，完成预算的</w:t>
      </w:r>
      <w:r>
        <w:rPr>
          <w:rFonts w:hint="default" w:ascii="Times New Roman" w:hAnsi="Times New Roman" w:cs="Times New Roman"/>
          <w:color w:val="auto"/>
          <w:szCs w:val="32"/>
          <w:lang w:val="en-US" w:eastAsia="zh-CN"/>
        </w:rPr>
        <w:t>79</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u w:val="none"/>
          <w:lang w:eastAsia="zh-CN"/>
        </w:rPr>
        <w:t>较上年减少</w:t>
      </w:r>
      <w:r>
        <w:rPr>
          <w:rFonts w:hint="default" w:ascii="Times New Roman" w:hAnsi="Times New Roman" w:cs="Times New Roman"/>
          <w:color w:val="auto"/>
          <w:szCs w:val="32"/>
          <w:u w:val="none"/>
          <w:lang w:val="en-US" w:eastAsia="zh-CN"/>
        </w:rPr>
        <w:t>0.37</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，减少</w:t>
      </w:r>
      <w:r>
        <w:rPr>
          <w:rFonts w:hint="default" w:ascii="Times New Roman" w:hAnsi="Times New Roman" w:cs="Times New Roman"/>
          <w:color w:val="auto"/>
          <w:szCs w:val="32"/>
          <w:u w:val="none"/>
          <w:lang w:val="en-US" w:eastAsia="zh-CN"/>
        </w:rPr>
        <w:t>13.5%。</w:t>
      </w:r>
      <w:r>
        <w:rPr>
          <w:rFonts w:hint="default" w:ascii="Times New Roman" w:hAnsi="Times New Roman" w:cs="Times New Roman"/>
          <w:color w:val="auto"/>
          <w:szCs w:val="32"/>
          <w:u w:val="none"/>
        </w:rPr>
        <w:t>决算数</w:t>
      </w:r>
      <w:r>
        <w:rPr>
          <w:rFonts w:hint="default" w:ascii="Times New Roman" w:hAnsi="Times New Roman" w:cs="Times New Roman"/>
          <w:color w:val="auto"/>
          <w:szCs w:val="32"/>
          <w:u w:val="none"/>
          <w:lang w:eastAsia="zh-CN"/>
        </w:rPr>
        <w:t>小</w:t>
      </w:r>
      <w:r>
        <w:rPr>
          <w:rFonts w:hint="default" w:ascii="Times New Roman" w:hAnsi="Times New Roman" w:cs="Times New Roman"/>
          <w:color w:val="auto"/>
          <w:szCs w:val="32"/>
          <w:u w:val="none"/>
        </w:rPr>
        <w:t>于预算数的主要原因是</w:t>
      </w:r>
      <w:r>
        <w:rPr>
          <w:rFonts w:hint="default" w:ascii="Times New Roman" w:hAnsi="Times New Roman" w:cs="Times New Roman"/>
          <w:color w:val="auto"/>
          <w:szCs w:val="32"/>
          <w:u w:val="none"/>
          <w:lang w:val="en-US" w:eastAsia="zh-CN"/>
        </w:rPr>
        <w:t>减少了公务用车运行费</w:t>
      </w:r>
      <w:r>
        <w:rPr>
          <w:rFonts w:hint="default" w:ascii="Times New Roman" w:hAnsi="Times New Roman" w:cs="Times New Roman"/>
          <w:color w:val="auto"/>
          <w:szCs w:val="32"/>
          <w:u w:val="none"/>
        </w:rPr>
        <w:t>。决算数</w:t>
      </w:r>
      <w:r>
        <w:rPr>
          <w:rFonts w:hint="default" w:ascii="Times New Roman" w:hAnsi="Times New Roman" w:cs="Times New Roman"/>
          <w:color w:val="auto"/>
          <w:szCs w:val="32"/>
          <w:u w:val="none"/>
          <w:lang w:eastAsia="zh-CN"/>
        </w:rPr>
        <w:t>较上年减少</w:t>
      </w:r>
      <w:r>
        <w:rPr>
          <w:rFonts w:hint="default" w:ascii="Times New Roman" w:hAnsi="Times New Roman" w:cs="Times New Roman"/>
          <w:color w:val="auto"/>
          <w:szCs w:val="32"/>
          <w:u w:val="none"/>
        </w:rPr>
        <w:t>的主要原因是</w:t>
      </w:r>
      <w:r>
        <w:rPr>
          <w:rFonts w:hint="default" w:ascii="Times New Roman" w:hAnsi="Times New Roman" w:cs="Times New Roman"/>
          <w:color w:val="auto"/>
          <w:szCs w:val="32"/>
          <w:u w:val="none"/>
          <w:lang w:eastAsia="zh-CN"/>
        </w:rPr>
        <w:t>公务用车运行维护费减少</w:t>
      </w:r>
      <w:r>
        <w:rPr>
          <w:rFonts w:hint="default" w:ascii="Times New Roman" w:hAnsi="Times New Roman" w:cs="Times New Roman"/>
          <w:color w:val="auto"/>
          <w:szCs w:val="32"/>
          <w:u w:val="none"/>
        </w:rPr>
        <w:t>。</w:t>
      </w:r>
      <w:r>
        <w:rPr>
          <w:rFonts w:hint="default" w:ascii="Times New Roman" w:hAnsi="Times New Roman" w:cs="Times New Roman"/>
          <w:color w:val="auto"/>
          <w:szCs w:val="32"/>
        </w:rPr>
        <w:t>其中，</w:t>
      </w:r>
      <w:r>
        <w:rPr>
          <w:rFonts w:hint="default" w:ascii="Times New Roman" w:hAnsi="Times New Roman" w:cs="Times New Roman"/>
          <w:color w:val="auto"/>
          <w:szCs w:val="32"/>
          <w:lang w:eastAsia="zh-CN"/>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lang w:eastAsia="zh-CN"/>
        </w:rPr>
        <w:t>年没有安排公务用车购置费，</w:t>
      </w:r>
      <w:r>
        <w:rPr>
          <w:rFonts w:hint="default" w:ascii="Times New Roman" w:hAnsi="Times New Roman" w:cs="Times New Roman"/>
          <w:color w:val="auto"/>
          <w:szCs w:val="32"/>
        </w:rPr>
        <w:t>公务用车运行维护费</w:t>
      </w:r>
      <w:r>
        <w:rPr>
          <w:rFonts w:hint="default" w:ascii="Times New Roman" w:hAnsi="Times New Roman" w:cs="Times New Roman"/>
          <w:color w:val="auto"/>
          <w:szCs w:val="32"/>
          <w:lang w:eastAsia="zh-CN"/>
        </w:rPr>
        <w:t>预算为</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lang w:eastAsia="zh-CN"/>
        </w:rPr>
        <w:t>万元，支出决算为</w:t>
      </w:r>
      <w:r>
        <w:rPr>
          <w:rFonts w:hint="default" w:ascii="Times New Roman" w:hAnsi="Times New Roman" w:cs="Times New Roman"/>
          <w:color w:val="auto"/>
          <w:szCs w:val="32"/>
          <w:lang w:val="en-US" w:eastAsia="zh-CN"/>
        </w:rPr>
        <w:t>2.37万元</w:t>
      </w:r>
      <w:r>
        <w:rPr>
          <w:rFonts w:hint="default" w:ascii="Times New Roman" w:hAnsi="Times New Roman" w:cs="Times New Roman"/>
          <w:color w:val="auto"/>
          <w:szCs w:val="32"/>
          <w:lang w:eastAsia="zh-CN"/>
        </w:rPr>
        <w:t>，完成预算的79%；较上年减少0.37万元，减少13.5%。</w:t>
      </w:r>
      <w:r>
        <w:rPr>
          <w:rFonts w:hint="default" w:ascii="Times New Roman" w:hAnsi="Times New Roman" w:cs="Times New Roman"/>
          <w:color w:val="auto"/>
          <w:szCs w:val="32"/>
          <w:u w:val="none"/>
        </w:rPr>
        <w:t>决算数</w:t>
      </w:r>
      <w:r>
        <w:rPr>
          <w:rFonts w:hint="default" w:ascii="Times New Roman" w:hAnsi="Times New Roman" w:cs="Times New Roman"/>
          <w:color w:val="auto"/>
          <w:szCs w:val="32"/>
          <w:u w:val="none"/>
          <w:lang w:eastAsia="zh-CN"/>
        </w:rPr>
        <w:t>小</w:t>
      </w:r>
      <w:r>
        <w:rPr>
          <w:rFonts w:hint="default" w:ascii="Times New Roman" w:hAnsi="Times New Roman" w:cs="Times New Roman"/>
          <w:color w:val="auto"/>
          <w:szCs w:val="32"/>
          <w:u w:val="none"/>
        </w:rPr>
        <w:t>于预算数的主要原因是</w:t>
      </w:r>
      <w:r>
        <w:rPr>
          <w:rFonts w:hint="default" w:ascii="Times New Roman" w:hAnsi="Times New Roman" w:cs="Times New Roman"/>
          <w:color w:val="auto"/>
          <w:szCs w:val="32"/>
          <w:u w:val="none"/>
          <w:lang w:val="en-US" w:eastAsia="zh-CN"/>
        </w:rPr>
        <w:t>减少了公务用车运行费</w:t>
      </w:r>
      <w:r>
        <w:rPr>
          <w:rFonts w:hint="default" w:ascii="Times New Roman" w:hAnsi="Times New Roman" w:cs="Times New Roman"/>
          <w:color w:val="auto"/>
          <w:szCs w:val="32"/>
          <w:u w:val="none"/>
        </w:rPr>
        <w:t>。决算数较上年减少的主要原因是公务用车运行维护费减少。</w:t>
      </w:r>
      <w:r>
        <w:rPr>
          <w:rFonts w:hint="default" w:ascii="Times New Roman" w:hAnsi="Times New Roman" w:cs="Times New Roman"/>
          <w:color w:val="auto"/>
          <w:szCs w:val="32"/>
        </w:rPr>
        <w:t>公务用车运行维护费，主要用于车辆燃料费、维修费、过路过桥费、保险费等支出</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截至</w:t>
      </w:r>
      <w:r>
        <w:rPr>
          <w:rFonts w:hint="default" w:ascii="Times New Roman" w:hAnsi="Times New Roman" w:cs="Times New Roman"/>
          <w:color w:val="auto"/>
          <w:szCs w:val="32"/>
          <w:lang w:eastAsia="zh-CN"/>
        </w:rPr>
        <w:t>202</w:t>
      </w:r>
      <w:r>
        <w:rPr>
          <w:rFonts w:hint="default" w:ascii="Times New Roman" w:hAnsi="Times New Roman" w:cs="Times New Roman"/>
          <w:color w:val="auto"/>
          <w:szCs w:val="32"/>
          <w:lang w:val="en-US" w:eastAsia="zh-CN"/>
        </w:rPr>
        <w:t>4</w:t>
      </w:r>
      <w:r>
        <w:rPr>
          <w:rFonts w:hint="default" w:ascii="Times New Roman" w:hAnsi="Times New Roman" w:cs="Times New Roman"/>
          <w:color w:val="auto"/>
          <w:szCs w:val="32"/>
        </w:rPr>
        <w:t>年12月31日，</w:t>
      </w:r>
      <w:r>
        <w:rPr>
          <w:rFonts w:hint="default" w:ascii="Times New Roman" w:hAnsi="Times New Roman" w:cs="Times New Roman"/>
          <w:color w:val="auto"/>
          <w:szCs w:val="32"/>
          <w:lang w:eastAsia="zh-CN"/>
        </w:rPr>
        <w:t>黄山市屯溪</w:t>
      </w:r>
      <w:r>
        <w:rPr>
          <w:rFonts w:hint="default" w:ascii="Times New Roman" w:hAnsi="Times New Roman" w:cs="Times New Roman"/>
          <w:color w:val="auto"/>
          <w:szCs w:val="32"/>
          <w:lang w:val="en-US" w:eastAsia="zh-CN"/>
        </w:rPr>
        <w:t>委宣传部</w:t>
      </w:r>
      <w:r>
        <w:rPr>
          <w:rFonts w:hint="default" w:ascii="Times New Roman" w:hAnsi="Times New Roman" w:cs="Times New Roman"/>
          <w:color w:val="auto"/>
          <w:szCs w:val="32"/>
        </w:rPr>
        <w:t>机关开支财政拨款的公务用车保有量为</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辆</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屯溪区融媒体中心新闻采访用车1辆。</w:t>
      </w:r>
    </w:p>
    <w:p w14:paraId="1420E8D3">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ZDI1N2E1NTMxNjVkOTYyOTJiMDdhNmRjNzhlMDcifQ=="/>
  </w:docVars>
  <w:rsids>
    <w:rsidRoot w:val="00000000"/>
    <w:rsid w:val="09FB1FA2"/>
    <w:rsid w:val="0BF3436E"/>
    <w:rsid w:val="11A37163"/>
    <w:rsid w:val="1DAE065C"/>
    <w:rsid w:val="286B64A0"/>
    <w:rsid w:val="3AEF0EC1"/>
    <w:rsid w:val="3E997213"/>
    <w:rsid w:val="47AA0E1C"/>
    <w:rsid w:val="4AEC1DD8"/>
    <w:rsid w:val="4D041B2C"/>
    <w:rsid w:val="54971006"/>
    <w:rsid w:val="5BDD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1246</Words>
  <Characters>1371</Characters>
  <Lines>0</Lines>
  <Paragraphs>0</Paragraphs>
  <TotalTime>3</TotalTime>
  <ScaleCrop>false</ScaleCrop>
  <LinksUpToDate>false</LinksUpToDate>
  <CharactersWithSpaces>1439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2024-09-11T01:01:00Z</dcterms:created>
  <dc:creator>ThinkVision</dc:creator>
  <cp:lastModifiedBy>Administrator</cp:lastModifiedBy>
  <dcterms:modified xsi:type="dcterms:W3CDTF">2025-09-28T07:17:07Z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12D00A1548CD418EA36D622D15E536E1_13</vt:lpwstr>
  </property>
  <property fmtid="{D5CDD505-2E9C-101B-9397-08002B2CF9AE}" pid="4" name="KSOTemplateDocerSaveRecord">
    <vt:lpwstr>eyJoZGlkIjoiMTMwZDI1N2E1NTMxNjVkOTYyOTJiMDdhNmRjNzhlMDcifQ==</vt:lpwstr>
  </property>
</Properties>
</file>