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EBF1C">
      <w:pPr>
        <w:pStyle w:val="13"/>
        <w:keepNext w:val="0"/>
        <w:keepLines w:val="0"/>
        <w:pageBreakBefore w:val="0"/>
        <w:widowControl/>
        <w:suppressLineNumbers w:val="0"/>
        <w:kinsoku/>
        <w:wordWrap/>
        <w:overflowPunct w:val="0"/>
        <w:topLinePunct w:val="0"/>
        <w:autoSpaceDE/>
        <w:autoSpaceDN/>
        <w:bidi w:val="0"/>
        <w:adjustRightInd/>
        <w:snapToGrid/>
        <w:spacing w:line="590" w:lineRule="exact"/>
        <w:ind w:left="0" w:leftChars="0" w:right="0"/>
        <w:jc w:val="center"/>
        <w:textAlignment w:val="auto"/>
        <w:rPr>
          <w:rFonts w:hint="default" w:ascii="Times New Roman" w:hAnsi="Times New Roman" w:eastAsia="方正仿宋_GBK" w:cs="Times New Roman"/>
          <w:color w:val="auto"/>
          <w:sz w:val="32"/>
          <w:szCs w:val="32"/>
        </w:rPr>
      </w:pPr>
    </w:p>
    <w:p w14:paraId="498B0A56">
      <w:pPr>
        <w:pStyle w:val="13"/>
        <w:keepNext w:val="0"/>
        <w:keepLines w:val="0"/>
        <w:pageBreakBefore w:val="0"/>
        <w:widowControl/>
        <w:suppressLineNumbers w:val="0"/>
        <w:kinsoku/>
        <w:wordWrap/>
        <w:overflowPunct w:val="0"/>
        <w:topLinePunct w:val="0"/>
        <w:autoSpaceDE/>
        <w:autoSpaceDN/>
        <w:bidi w:val="0"/>
        <w:adjustRightInd/>
        <w:snapToGrid/>
        <w:spacing w:line="590" w:lineRule="exact"/>
        <w:ind w:left="0" w:leftChars="0" w:right="0"/>
        <w:jc w:val="center"/>
        <w:textAlignment w:val="auto"/>
        <w:rPr>
          <w:rFonts w:hint="default" w:ascii="Times New Roman" w:hAnsi="Times New Roman" w:eastAsia="方正仿宋_GBK" w:cs="Times New Roman"/>
          <w:color w:val="auto"/>
          <w:sz w:val="32"/>
          <w:szCs w:val="32"/>
        </w:rPr>
      </w:pPr>
    </w:p>
    <w:p w14:paraId="75C991A5">
      <w:pPr>
        <w:keepNext w:val="0"/>
        <w:keepLines w:val="0"/>
        <w:pageBreakBefore w:val="0"/>
        <w:kinsoku w:val="0"/>
        <w:wordWrap/>
        <w:overflowPunct w:val="0"/>
        <w:topLinePunct w:val="0"/>
        <w:autoSpaceDE w:val="0"/>
        <w:autoSpaceDN w:val="0"/>
        <w:bidi w:val="0"/>
        <w:adjustRightInd w:val="0"/>
        <w:snapToGrid w:val="0"/>
        <w:spacing w:before="0" w:line="590" w:lineRule="exact"/>
        <w:ind w:left="0" w:leftChars="0" w:right="0"/>
        <w:jc w:val="center"/>
        <w:textAlignment w:val="baseline"/>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屯溪区人民政府办公室关于印发《屯溪区区属企业国有资本收益收取管理办法》的通知</w:t>
      </w:r>
    </w:p>
    <w:p w14:paraId="600B7FB2">
      <w:pPr>
        <w:keepNext w:val="0"/>
        <w:keepLines w:val="0"/>
        <w:pageBreakBefore w:val="0"/>
        <w:suppressAutoHyphens/>
        <w:kinsoku/>
        <w:wordWrap/>
        <w:overflowPunct/>
        <w:topLinePunct w:val="0"/>
        <w:autoSpaceDE/>
        <w:autoSpaceDN/>
        <w:bidi w:val="0"/>
        <w:spacing w:line="590" w:lineRule="exact"/>
        <w:ind w:left="0" w:leftChars="0" w:firstLine="0" w:firstLineChars="0"/>
        <w:jc w:val="center"/>
        <w:textAlignment w:val="auto"/>
        <w:rPr>
          <w:rFonts w:hint="eastAsia" w:ascii="Times New Roman" w:hAnsi="Times New Roman" w:eastAsia="方正仿宋_GBK" w:cs="Times New Roman"/>
          <w:b w:val="0"/>
          <w:bCs/>
          <w:color w:val="auto"/>
          <w:sz w:val="32"/>
          <w:szCs w:val="32"/>
          <w:lang w:val="en-US" w:eastAsia="en-US"/>
        </w:rPr>
      </w:pPr>
      <w:r>
        <w:rPr>
          <w:rFonts w:hint="eastAsia" w:ascii="Times New Roman" w:hAnsi="Times New Roman" w:eastAsia="方正仿宋_GBK" w:cs="Times New Roman"/>
          <w:b w:val="0"/>
          <w:bCs/>
          <w:color w:val="auto"/>
          <w:sz w:val="32"/>
          <w:szCs w:val="32"/>
          <w:lang w:val="en-US" w:eastAsia="en-US"/>
        </w:rPr>
        <w:t>屯政办〔2024〕1号</w:t>
      </w:r>
    </w:p>
    <w:p w14:paraId="5C5454B1">
      <w:pPr>
        <w:pStyle w:val="13"/>
        <w:keepNext w:val="0"/>
        <w:keepLines w:val="0"/>
        <w:pageBreakBefore w:val="0"/>
        <w:widowControl/>
        <w:suppressLineNumbers w:val="0"/>
        <w:kinsoku/>
        <w:wordWrap/>
        <w:overflowPunct w:val="0"/>
        <w:topLinePunct w:val="0"/>
        <w:autoSpaceDE/>
        <w:autoSpaceDN/>
        <w:bidi w:val="0"/>
        <w:adjustRightInd/>
        <w:snapToGrid/>
        <w:spacing w:line="590" w:lineRule="exact"/>
        <w:ind w:left="0" w:leftChars="0" w:right="0"/>
        <w:jc w:val="both"/>
        <w:textAlignment w:val="auto"/>
        <w:rPr>
          <w:rFonts w:hint="default" w:ascii="Times New Roman" w:hAnsi="Times New Roman" w:eastAsia="方正仿宋_GBK" w:cs="Times New Roman"/>
          <w:color w:val="auto"/>
          <w:sz w:val="32"/>
          <w:szCs w:val="32"/>
          <w:lang w:val="en-US" w:eastAsia="zh-CN"/>
        </w:rPr>
      </w:pPr>
    </w:p>
    <w:p w14:paraId="5C7E45D5">
      <w:pPr>
        <w:keepNext w:val="0"/>
        <w:keepLines w:val="0"/>
        <w:pageBreakBefore w:val="0"/>
        <w:suppressAutoHyphens/>
        <w:wordWrap/>
        <w:topLinePunct w:val="0"/>
        <w:bidi w:val="0"/>
        <w:spacing w:line="590" w:lineRule="exact"/>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各镇人民政府、各街道办事处、区政府各部门、各直属机构：</w:t>
      </w:r>
    </w:p>
    <w:p w14:paraId="50A39DF4">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《屯溪区区属企业国有资本收益收取管理办法》已经区政府第31次常务会议研究通过，现印发给你们，请认真贯彻执行。</w:t>
      </w:r>
    </w:p>
    <w:p w14:paraId="36B76945">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p>
    <w:p w14:paraId="69AE1000">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p>
    <w:p w14:paraId="52375C4D">
      <w:pPr>
        <w:keepNext w:val="0"/>
        <w:keepLines w:val="0"/>
        <w:pageBreakBefore w:val="0"/>
        <w:widowControl w:val="0"/>
        <w:suppressAutoHyphens/>
        <w:kinsoku/>
        <w:wordWrap/>
        <w:overflowPunct/>
        <w:topLinePunct w:val="0"/>
        <w:autoSpaceDE/>
        <w:autoSpaceDN/>
        <w:bidi/>
        <w:adjustRightInd/>
        <w:snapToGrid/>
        <w:spacing w:line="590" w:lineRule="exact"/>
        <w:ind w:firstLine="640" w:firstLineChars="200"/>
        <w:textAlignment w:val="auto"/>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屯溪区人民政府办公室</w:t>
      </w:r>
    </w:p>
    <w:p w14:paraId="00745F79">
      <w:pPr>
        <w:keepNext w:val="0"/>
        <w:keepLines w:val="0"/>
        <w:pageBreakBefore w:val="0"/>
        <w:widowControl w:val="0"/>
        <w:suppressAutoHyphens/>
        <w:kinsoku/>
        <w:wordWrap/>
        <w:overflowPunct/>
        <w:topLinePunct w:val="0"/>
        <w:autoSpaceDE/>
        <w:autoSpaceDN/>
        <w:bidi/>
        <w:adjustRightInd/>
        <w:snapToGrid/>
        <w:spacing w:line="590" w:lineRule="exact"/>
        <w:ind w:firstLine="640" w:firstLineChars="200"/>
        <w:textAlignment w:val="auto"/>
        <w:rPr>
          <w:rFonts w:hint="default"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 xml:space="preserve">2024年4月9日  </w:t>
      </w:r>
      <w:bookmarkStart w:id="0" w:name="_GoBack"/>
      <w:bookmarkEnd w:id="0"/>
    </w:p>
    <w:p w14:paraId="5E8859AF">
      <w:pPr>
        <w:keepNext w:val="0"/>
        <w:keepLines w:val="0"/>
        <w:pageBreakBefore w:val="0"/>
        <w:suppressAutoHyphens/>
        <w:wordWrap/>
        <w:topLinePunct w:val="0"/>
        <w:bidi w:val="0"/>
        <w:spacing w:line="590" w:lineRule="exact"/>
        <w:ind w:firstLine="640" w:firstLineChars="200"/>
        <w:rPr>
          <w:rFonts w:hint="default" w:ascii="Times New Roman" w:hAnsi="Times New Roman" w:eastAsia="方正仿宋_GBK" w:cs="Times New Roman"/>
          <w:b w:val="0"/>
          <w:bCs/>
          <w:color w:val="auto"/>
          <w:sz w:val="32"/>
          <w:szCs w:val="32"/>
          <w:lang w:val="en-US" w:eastAsia="zh-CN"/>
        </w:rPr>
      </w:pPr>
    </w:p>
    <w:p w14:paraId="7E016E88">
      <w:pPr>
        <w:pStyle w:val="13"/>
        <w:keepNext w:val="0"/>
        <w:keepLines w:val="0"/>
        <w:pageBreakBefore w:val="0"/>
        <w:widowControl/>
        <w:suppressLineNumbers w:val="0"/>
        <w:kinsoku/>
        <w:wordWrap/>
        <w:overflowPunct w:val="0"/>
        <w:topLinePunct w:val="0"/>
        <w:autoSpaceDE/>
        <w:autoSpaceDN/>
        <w:bidi w:val="0"/>
        <w:adjustRightInd/>
        <w:snapToGrid/>
        <w:spacing w:line="590" w:lineRule="exact"/>
        <w:ind w:left="0" w:leftChars="0" w:right="0"/>
        <w:jc w:val="both"/>
        <w:textAlignment w:val="auto"/>
        <w:rPr>
          <w:rFonts w:hint="default" w:ascii="Times New Roman" w:hAnsi="Times New Roman" w:eastAsia="方正仿宋_GBK" w:cs="Times New Roman"/>
          <w:color w:val="auto"/>
          <w:sz w:val="32"/>
          <w:szCs w:val="32"/>
          <w:lang w:val="en-US" w:eastAsia="zh-CN"/>
        </w:rPr>
      </w:pPr>
    </w:p>
    <w:p w14:paraId="57167DB8">
      <w:pPr>
        <w:pStyle w:val="13"/>
        <w:keepNext w:val="0"/>
        <w:keepLines w:val="0"/>
        <w:pageBreakBefore w:val="0"/>
        <w:widowControl/>
        <w:suppressLineNumbers w:val="0"/>
        <w:kinsoku/>
        <w:wordWrap/>
        <w:overflowPunct w:val="0"/>
        <w:topLinePunct w:val="0"/>
        <w:autoSpaceDE/>
        <w:autoSpaceDN/>
        <w:bidi w:val="0"/>
        <w:adjustRightInd/>
        <w:snapToGrid/>
        <w:spacing w:line="590" w:lineRule="exact"/>
        <w:ind w:left="0" w:leftChars="0" w:right="0"/>
        <w:jc w:val="both"/>
        <w:textAlignment w:val="auto"/>
        <w:rPr>
          <w:rFonts w:hint="default" w:ascii="Times New Roman" w:hAnsi="Times New Roman" w:eastAsia="方正仿宋_GBK" w:cs="Times New Roman"/>
          <w:color w:val="auto"/>
          <w:sz w:val="32"/>
          <w:szCs w:val="32"/>
          <w:lang w:val="en-US" w:eastAsia="zh-CN"/>
        </w:rPr>
      </w:pPr>
    </w:p>
    <w:p w14:paraId="66FC4FE8">
      <w:pPr>
        <w:pStyle w:val="13"/>
        <w:keepNext w:val="0"/>
        <w:keepLines w:val="0"/>
        <w:pageBreakBefore w:val="0"/>
        <w:widowControl/>
        <w:suppressLineNumbers w:val="0"/>
        <w:kinsoku/>
        <w:wordWrap/>
        <w:overflowPunct w:val="0"/>
        <w:topLinePunct w:val="0"/>
        <w:autoSpaceDE/>
        <w:autoSpaceDN/>
        <w:bidi w:val="0"/>
        <w:adjustRightInd/>
        <w:snapToGrid/>
        <w:spacing w:line="590" w:lineRule="exact"/>
        <w:ind w:left="0" w:leftChars="0" w:right="0"/>
        <w:jc w:val="both"/>
        <w:textAlignment w:val="auto"/>
        <w:rPr>
          <w:rFonts w:hint="default" w:ascii="Times New Roman" w:hAnsi="Times New Roman" w:eastAsia="方正仿宋_GBK" w:cs="Times New Roman"/>
          <w:color w:val="auto"/>
          <w:sz w:val="32"/>
          <w:szCs w:val="32"/>
          <w:lang w:val="en-US" w:eastAsia="zh-CN"/>
        </w:rPr>
      </w:pPr>
    </w:p>
    <w:p w14:paraId="3D4E8078">
      <w:pPr>
        <w:pStyle w:val="13"/>
        <w:keepNext w:val="0"/>
        <w:keepLines w:val="0"/>
        <w:pageBreakBefore w:val="0"/>
        <w:widowControl/>
        <w:suppressLineNumbers w:val="0"/>
        <w:kinsoku/>
        <w:wordWrap/>
        <w:overflowPunct w:val="0"/>
        <w:topLinePunct w:val="0"/>
        <w:autoSpaceDE/>
        <w:autoSpaceDN/>
        <w:bidi w:val="0"/>
        <w:adjustRightInd/>
        <w:snapToGrid/>
        <w:spacing w:line="590" w:lineRule="exact"/>
        <w:ind w:left="0" w:leftChars="0" w:right="0"/>
        <w:jc w:val="both"/>
        <w:textAlignment w:val="auto"/>
        <w:rPr>
          <w:rFonts w:hint="default" w:ascii="Times New Roman" w:hAnsi="Times New Roman" w:eastAsia="方正仿宋_GBK" w:cs="Times New Roman"/>
          <w:color w:val="auto"/>
          <w:sz w:val="32"/>
          <w:szCs w:val="32"/>
          <w:lang w:val="en-US" w:eastAsia="zh-CN"/>
        </w:rPr>
      </w:pPr>
    </w:p>
    <w:p w14:paraId="73AFDAE5">
      <w:pPr>
        <w:pStyle w:val="13"/>
        <w:keepNext w:val="0"/>
        <w:keepLines w:val="0"/>
        <w:pageBreakBefore w:val="0"/>
        <w:widowControl/>
        <w:suppressLineNumbers w:val="0"/>
        <w:kinsoku/>
        <w:wordWrap/>
        <w:overflowPunct w:val="0"/>
        <w:topLinePunct w:val="0"/>
        <w:autoSpaceDE/>
        <w:autoSpaceDN/>
        <w:bidi w:val="0"/>
        <w:adjustRightInd/>
        <w:snapToGrid/>
        <w:spacing w:line="590" w:lineRule="exact"/>
        <w:ind w:left="0" w:leftChars="0" w:right="0"/>
        <w:jc w:val="both"/>
        <w:textAlignment w:val="auto"/>
        <w:rPr>
          <w:rFonts w:hint="default" w:ascii="Times New Roman" w:hAnsi="Times New Roman" w:eastAsia="方正仿宋_GBK" w:cs="Times New Roman"/>
          <w:color w:val="auto"/>
          <w:sz w:val="32"/>
          <w:szCs w:val="32"/>
          <w:lang w:val="en-US" w:eastAsia="zh-CN"/>
        </w:rPr>
      </w:pPr>
    </w:p>
    <w:p w14:paraId="35812D46">
      <w:pPr>
        <w:pStyle w:val="13"/>
        <w:keepNext w:val="0"/>
        <w:keepLines w:val="0"/>
        <w:pageBreakBefore w:val="0"/>
        <w:widowControl/>
        <w:suppressLineNumbers w:val="0"/>
        <w:kinsoku/>
        <w:wordWrap/>
        <w:overflowPunct w:val="0"/>
        <w:topLinePunct w:val="0"/>
        <w:autoSpaceDE/>
        <w:autoSpaceDN/>
        <w:bidi w:val="0"/>
        <w:adjustRightInd/>
        <w:snapToGrid/>
        <w:spacing w:line="590" w:lineRule="exact"/>
        <w:ind w:left="0" w:leftChars="0" w:right="0"/>
        <w:jc w:val="both"/>
        <w:textAlignment w:val="auto"/>
        <w:rPr>
          <w:rFonts w:hint="default" w:ascii="Times New Roman" w:hAnsi="Times New Roman" w:eastAsia="方正仿宋_GBK" w:cs="Times New Roman"/>
          <w:color w:val="auto"/>
          <w:sz w:val="32"/>
          <w:szCs w:val="32"/>
          <w:lang w:val="en-US" w:eastAsia="zh-CN"/>
        </w:rPr>
      </w:pPr>
    </w:p>
    <w:p w14:paraId="548BF4B5">
      <w:pPr>
        <w:pStyle w:val="13"/>
        <w:keepNext w:val="0"/>
        <w:keepLines w:val="0"/>
        <w:pageBreakBefore w:val="0"/>
        <w:widowControl/>
        <w:suppressLineNumbers w:val="0"/>
        <w:kinsoku/>
        <w:wordWrap/>
        <w:overflowPunct w:val="0"/>
        <w:topLinePunct w:val="0"/>
        <w:autoSpaceDE/>
        <w:autoSpaceDN/>
        <w:bidi w:val="0"/>
        <w:adjustRightInd/>
        <w:snapToGrid/>
        <w:spacing w:line="590" w:lineRule="exact"/>
        <w:ind w:left="0" w:leftChars="0" w:right="0"/>
        <w:jc w:val="both"/>
        <w:textAlignment w:val="auto"/>
        <w:rPr>
          <w:rFonts w:hint="default" w:ascii="Times New Roman" w:hAnsi="Times New Roman" w:eastAsia="方正仿宋_GBK" w:cs="Times New Roman"/>
          <w:color w:val="auto"/>
          <w:sz w:val="32"/>
          <w:szCs w:val="32"/>
          <w:lang w:val="en-US" w:eastAsia="zh-CN"/>
        </w:rPr>
      </w:pPr>
    </w:p>
    <w:p w14:paraId="5B2FF4FC">
      <w:pPr>
        <w:pStyle w:val="13"/>
        <w:keepNext w:val="0"/>
        <w:keepLines w:val="0"/>
        <w:pageBreakBefore w:val="0"/>
        <w:widowControl/>
        <w:suppressLineNumbers w:val="0"/>
        <w:kinsoku/>
        <w:wordWrap/>
        <w:overflowPunct w:val="0"/>
        <w:topLinePunct w:val="0"/>
        <w:autoSpaceDE/>
        <w:autoSpaceDN/>
        <w:bidi w:val="0"/>
        <w:adjustRightInd/>
        <w:snapToGrid/>
        <w:spacing w:line="590" w:lineRule="exact"/>
        <w:ind w:left="0" w:leftChars="0" w:right="0"/>
        <w:jc w:val="both"/>
        <w:textAlignment w:val="auto"/>
        <w:rPr>
          <w:rFonts w:hint="default" w:ascii="Times New Roman" w:hAnsi="Times New Roman" w:eastAsia="方正仿宋_GBK" w:cs="Times New Roman"/>
          <w:color w:val="auto"/>
          <w:sz w:val="32"/>
          <w:szCs w:val="32"/>
          <w:lang w:val="en-US" w:eastAsia="zh-CN"/>
        </w:rPr>
      </w:pPr>
    </w:p>
    <w:p w14:paraId="379A4712">
      <w:pPr>
        <w:pStyle w:val="2"/>
        <w:keepNext w:val="0"/>
        <w:keepLines w:val="0"/>
        <w:pageBreakBefore w:val="0"/>
        <w:wordWrap/>
        <w:topLinePunct w:val="0"/>
        <w:spacing w:after="0" w:line="590" w:lineRule="exact"/>
        <w:ind w:left="0" w:leftChars="0" w:firstLine="0" w:firstLineChars="0"/>
        <w:rPr>
          <w:rFonts w:hint="eastAsia"/>
        </w:rPr>
      </w:pPr>
    </w:p>
    <w:p w14:paraId="3E5412C4">
      <w:pPr>
        <w:keepNext w:val="0"/>
        <w:keepLines w:val="0"/>
        <w:pageBreakBefore w:val="0"/>
        <w:suppressAutoHyphens/>
        <w:wordWrap/>
        <w:topLinePunct w:val="0"/>
        <w:bidi w:val="0"/>
        <w:spacing w:line="590" w:lineRule="exact"/>
        <w:ind w:left="0" w:left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屯溪区区属企业国有资本收益收取</w:t>
      </w:r>
    </w:p>
    <w:p w14:paraId="2A86DE82">
      <w:pPr>
        <w:keepNext w:val="0"/>
        <w:keepLines w:val="0"/>
        <w:pageBreakBefore w:val="0"/>
        <w:suppressAutoHyphens/>
        <w:wordWrap/>
        <w:topLinePunct w:val="0"/>
        <w:bidi w:val="0"/>
        <w:spacing w:line="590" w:lineRule="exact"/>
        <w:ind w:left="0" w:left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管理办法</w:t>
      </w:r>
    </w:p>
    <w:p w14:paraId="2E7EBC53">
      <w:pPr>
        <w:keepNext w:val="0"/>
        <w:keepLines w:val="0"/>
        <w:pageBreakBefore w:val="0"/>
        <w:suppressAutoHyphens/>
        <w:wordWrap/>
        <w:topLinePunct w:val="0"/>
        <w:bidi w:val="0"/>
        <w:spacing w:line="590" w:lineRule="exact"/>
        <w:ind w:left="0" w:leftChars="0"/>
        <w:jc w:val="center"/>
        <w:rPr>
          <w:rFonts w:ascii="Times New Roman" w:hAnsi="Times New Roman" w:eastAsia="楷体_GB2312" w:cs="Times New Roman"/>
          <w:sz w:val="32"/>
          <w:szCs w:val="32"/>
        </w:rPr>
      </w:pPr>
    </w:p>
    <w:p w14:paraId="19BD8343">
      <w:pPr>
        <w:keepNext w:val="0"/>
        <w:keepLines w:val="0"/>
        <w:pageBreakBefore w:val="0"/>
        <w:numPr>
          <w:ilvl w:val="0"/>
          <w:numId w:val="1"/>
        </w:numPr>
        <w:suppressAutoHyphens/>
        <w:wordWrap/>
        <w:topLinePunct w:val="0"/>
        <w:bidi w:val="0"/>
        <w:spacing w:line="590" w:lineRule="exact"/>
        <w:ind w:left="0" w:leftChars="0"/>
        <w:jc w:val="center"/>
        <w:rPr>
          <w:rFonts w:ascii="黑体" w:hAnsi="黑体" w:eastAsia="黑体" w:cs="Times New Roman"/>
          <w:sz w:val="32"/>
          <w:szCs w:val="32"/>
        </w:rPr>
      </w:pPr>
      <w:r>
        <w:rPr>
          <w:rFonts w:ascii="黑体" w:hAnsi="黑体" w:eastAsia="黑体" w:cs="Times New Roman"/>
          <w:sz w:val="32"/>
          <w:szCs w:val="32"/>
        </w:rPr>
        <w:t xml:space="preserve"> </w:t>
      </w:r>
      <w:r>
        <w:rPr>
          <w:rFonts w:hint="eastAsia" w:ascii="方正黑体_GBK" w:hAnsi="方正黑体_GBK" w:eastAsia="方正黑体_GBK" w:cs="方正黑体_GBK"/>
          <w:sz w:val="32"/>
          <w:szCs w:val="32"/>
        </w:rPr>
        <w:t>总  则</w:t>
      </w:r>
    </w:p>
    <w:p w14:paraId="1546C9E9">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第一条</w:t>
      </w:r>
      <w:r>
        <w:rPr>
          <w:rFonts w:ascii="Times New Roman" w:hAnsi="Times New Roman" w:eastAsia="方正黑体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为健全国有资本经营预算制度，规范区政府与企业的分配关系，进一步加强区属企业国有资本收益管理，根据《中华人民共和国公司法》《中华人民共和国预算法》《中华人民共和国企业国有资产法》《财政部关于完善政府预算体系有关问题的通知》（财预〔2014〕368号）《黄山市市本级政府出资企业国有资本收益收取管理暂行办法》（黄政办〔2013〕24号）等有关规定，结合我区实际，制定本办法。</w:t>
      </w:r>
    </w:p>
    <w:p w14:paraId="26A2325D">
      <w:pPr>
        <w:keepNext w:val="0"/>
        <w:keepLines w:val="0"/>
        <w:pageBreakBefore w:val="0"/>
        <w:suppressAutoHyphens/>
        <w:wordWrap/>
        <w:topLinePunct w:val="0"/>
        <w:bidi w:val="0"/>
        <w:spacing w:line="590" w:lineRule="exact"/>
        <w:ind w:left="0" w:leftChars="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第二条</w:t>
      </w:r>
      <w:r>
        <w:rPr>
          <w:rFonts w:ascii="Times New Roman" w:hAnsi="Times New Roman" w:eastAsia="方正仿宋_GBK" w:cs="Times New Roman"/>
          <w:sz w:val="32"/>
          <w:szCs w:val="32"/>
        </w:rPr>
        <w:t xml:space="preserve"> </w:t>
      </w:r>
      <w:r>
        <w:rPr>
          <w:rFonts w:ascii="Times New Roman" w:hAnsi="Times New Roman" w:eastAsia="仿宋_GB2312"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本办法适用于区政府及其部门、机构履行出资人职责的企业（以下简称区属企业）。</w:t>
      </w:r>
    </w:p>
    <w:p w14:paraId="1AA6D66E">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 xml:space="preserve">第三条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本办法所称国有资本收益，是指国家以所有者身份依法取得的国有资本投资收益，具体包括：</w:t>
      </w:r>
    </w:p>
    <w:p w14:paraId="473A303A">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（一）应交利润，即国有独资企业按规定应当上交国家的税后利润；</w:t>
      </w:r>
    </w:p>
    <w:p w14:paraId="1AF997C9">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（二）国有股股利、股息，即国有控股、参股企业国有股权（股份）获得的股利、股息收入；</w:t>
      </w:r>
    </w:p>
    <w:p w14:paraId="0551812A">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（三）国有产权转让收入，即转让企业国有产权、股权（股份）获得的收入（扣除转让费用）；</w:t>
      </w:r>
    </w:p>
    <w:p w14:paraId="0A5DE90D">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（四）企业清算收入，即国有独资企业清算收入（扣除清算费用），国有控股、参股企业国有股权（股份）分享的清算收入（扣除清算费用）；</w:t>
      </w:r>
    </w:p>
    <w:p w14:paraId="27CECC17">
      <w:pPr>
        <w:keepNext w:val="0"/>
        <w:keepLines w:val="0"/>
        <w:pageBreakBefore w:val="0"/>
        <w:suppressAutoHyphens/>
        <w:wordWrap/>
        <w:topLinePunct w:val="0"/>
        <w:bidi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方正仿宋_GBK" w:cs="Times New Roman"/>
          <w:b w:val="0"/>
          <w:bCs/>
          <w:color w:val="auto"/>
          <w:sz w:val="32"/>
          <w:szCs w:val="32"/>
          <w:lang w:val="en-US" w:eastAsia="zh-CN"/>
        </w:rPr>
        <w:t>（五）其他国有资本收益。</w:t>
      </w:r>
    </w:p>
    <w:p w14:paraId="6311552F">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第四条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区属企业国有资本收益应当按规定直接上交区财政局，纳入区本级国有资本经营预算收入管理。</w:t>
      </w:r>
    </w:p>
    <w:p w14:paraId="492FF2F0">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国家、省、市对区属企业国有资本收益另有规定的，从其规定。</w:t>
      </w:r>
    </w:p>
    <w:p w14:paraId="752B8A9D">
      <w:pPr>
        <w:keepNext w:val="0"/>
        <w:keepLines w:val="0"/>
        <w:pageBreakBefore w:val="0"/>
        <w:suppressAutoHyphens/>
        <w:wordWrap/>
        <w:topLinePunct w:val="0"/>
        <w:bidi w:val="0"/>
        <w:spacing w:line="590" w:lineRule="exact"/>
        <w:ind w:left="0" w:leftChars="0" w:firstLine="640" w:firstLineChars="200"/>
        <w:rPr>
          <w:rFonts w:ascii="黑体" w:hAnsi="黑体" w:eastAsia="黑体" w:cs="Times New Roman"/>
          <w:sz w:val="32"/>
          <w:szCs w:val="32"/>
        </w:rPr>
      </w:pPr>
      <w:r>
        <w:rPr>
          <w:rFonts w:hint="eastAsia" w:ascii="方正黑体_GBK" w:hAnsi="方正黑体_GBK" w:eastAsia="方正黑体_GBK" w:cs="方正黑体_GBK"/>
          <w:sz w:val="32"/>
          <w:szCs w:val="32"/>
        </w:rPr>
        <w:t xml:space="preserve">第五条 </w:t>
      </w:r>
      <w:r>
        <w:rPr>
          <w:rFonts w:hint="eastAsia" w:ascii="黑体" w:hAnsi="黑体" w:eastAsia="黑体"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区属企业国有资本收益由区财政局负责收取，代表区人民政府履行出资人职责的部门、机构（以下简称区级预算单位）负责组织所监管（或所属）企业上交国有资本收益。</w:t>
      </w:r>
    </w:p>
    <w:p w14:paraId="0B0CE28D">
      <w:pPr>
        <w:keepNext w:val="0"/>
        <w:keepLines w:val="0"/>
        <w:pageBreakBefore w:val="0"/>
        <w:numPr>
          <w:ilvl w:val="0"/>
          <w:numId w:val="1"/>
        </w:numPr>
        <w:suppressAutoHyphens/>
        <w:wordWrap/>
        <w:topLinePunct w:val="0"/>
        <w:bidi w:val="0"/>
        <w:spacing w:line="590" w:lineRule="exact"/>
        <w:ind w:left="0" w:leftChars="0" w:firstLine="0" w:firstLineChars="0"/>
        <w:jc w:val="center"/>
        <w:rPr>
          <w:rFonts w:ascii="黑体" w:hAnsi="黑体" w:eastAsia="黑体" w:cs="Times New Roman"/>
          <w:sz w:val="32"/>
          <w:szCs w:val="32"/>
        </w:rPr>
      </w:pPr>
      <w:r>
        <w:rPr>
          <w:rFonts w:ascii="黑体" w:hAnsi="黑体" w:eastAsia="黑体" w:cs="Times New Roman"/>
          <w:sz w:val="32"/>
          <w:szCs w:val="32"/>
        </w:rPr>
        <w:t xml:space="preserve"> </w:t>
      </w:r>
      <w:r>
        <w:rPr>
          <w:rFonts w:hint="eastAsia" w:ascii="方正黑体_GBK" w:hAnsi="方正黑体_GBK" w:eastAsia="方正黑体_GBK" w:cs="方正黑体_GBK"/>
          <w:sz w:val="32"/>
          <w:szCs w:val="32"/>
        </w:rPr>
        <w:t>区属企业国有资本收益的申报与核定</w:t>
      </w:r>
    </w:p>
    <w:p w14:paraId="0DCF2BDA">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 xml:space="preserve">第六条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区属企业上交国有资本收益应当按规定申报，并如实填报区属企业国有资本收益申报表（见附件1-4）。具体申报时间及要求如下：</w:t>
      </w:r>
    </w:p>
    <w:p w14:paraId="3A6EBF82">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（一）应交利润，在企业所得税年度汇算结束后1个月内，由区属企业一次申报，并附送年度财务报表和中国注册会计师出具的审计报告；</w:t>
      </w:r>
    </w:p>
    <w:p w14:paraId="4DBBC601">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（二）国有股股利、股息，在股东会或者股东大会（没有设立股东会或者股东大会的为董事会，下同）表决日后30个工作日内，由国有控股、参股企业据实申报，并附送股东会或者股东大会的决议文件；</w:t>
      </w:r>
    </w:p>
    <w:p w14:paraId="3B84A9F5">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（三）国有产权转让收入，在签订产权转让合同或者协议后30个工作日内，由区属企业或者区级预算单位授权的机构据实申报，并附送产权转让合同或者协议、资产评估报告及核准或备案文件；</w:t>
      </w:r>
    </w:p>
    <w:p w14:paraId="454EC210">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（四）企业清算收入，在清算组或者管理人编制剩余财产分配方案后30个工作日内，由清算组或者管理人据实申报，并附送企业清算报告和中国注册会计师出具的审计报告；</w:t>
      </w:r>
    </w:p>
    <w:p w14:paraId="0DFD04AC">
      <w:pPr>
        <w:keepNext w:val="0"/>
        <w:keepLines w:val="0"/>
        <w:pageBreakBefore w:val="0"/>
        <w:suppressAutoHyphens/>
        <w:wordWrap/>
        <w:topLinePunct w:val="0"/>
        <w:bidi w:val="0"/>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方正仿宋_GBK" w:cs="Times New Roman"/>
          <w:b w:val="0"/>
          <w:bCs/>
          <w:color w:val="auto"/>
          <w:sz w:val="32"/>
          <w:szCs w:val="32"/>
          <w:lang w:val="en-US" w:eastAsia="zh-CN"/>
        </w:rPr>
        <w:t>（五）其他国有资本收益，在收益确定后30个工作日内，由有关单位申报，并附送有关经济事项发生和金额确认的资料。</w:t>
      </w:r>
    </w:p>
    <w:p w14:paraId="6B385157">
      <w:pPr>
        <w:keepNext w:val="0"/>
        <w:keepLines w:val="0"/>
        <w:pageBreakBefore w:val="0"/>
        <w:suppressAutoHyphens/>
        <w:wordWrap/>
        <w:topLinePunct w:val="0"/>
        <w:bidi w:val="0"/>
        <w:spacing w:line="590" w:lineRule="exact"/>
        <w:ind w:left="0" w:leftChars="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 xml:space="preserve">第七条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区属企业在向区级预算单位申报上交国有资本收益的同时，应将区属企业国有资本收益申报表及相关材料报送区财政局。</w:t>
      </w:r>
    </w:p>
    <w:p w14:paraId="4CACC5B6">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 xml:space="preserve">第八条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国有独资企业拥有全资公司或者控股子公司、子企业的，应当由集团公司（母公司、总公司）以年度合并财务报表反映的“归属于母公司所有者的净利润”</w:t>
      </w:r>
      <w:r>
        <w:rPr>
          <w:rFonts w:hint="eastAsia" w:ascii="Times New Roman" w:hAnsi="Times New Roman" w:eastAsia="方正仿宋_GBK" w:cs="Times New Roman"/>
          <w:b w:val="0"/>
          <w:bCs/>
          <w:color w:val="auto"/>
          <w:sz w:val="32"/>
          <w:szCs w:val="32"/>
          <w:lang w:val="zh-CN" w:eastAsia="zh-CN"/>
        </w:rPr>
        <w:t>（未编制合并报表的，为“净利润”，下同）</w:t>
      </w:r>
      <w:r>
        <w:rPr>
          <w:rFonts w:hint="eastAsia" w:ascii="Times New Roman" w:hAnsi="Times New Roman" w:eastAsia="方正仿宋_GBK" w:cs="Times New Roman"/>
          <w:b w:val="0"/>
          <w:bCs/>
          <w:color w:val="auto"/>
          <w:sz w:val="32"/>
          <w:szCs w:val="32"/>
          <w:lang w:val="en-US" w:eastAsia="zh-CN"/>
        </w:rPr>
        <w:t>为基础申报。</w:t>
      </w:r>
    </w:p>
    <w:p w14:paraId="12CCCE9B">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区属企业计算应交利润的年度净利润时，可以抵扣以前年度未弥补亏损。</w:t>
      </w:r>
    </w:p>
    <w:p w14:paraId="3D5BBD6C">
      <w:pPr>
        <w:keepNext w:val="0"/>
        <w:keepLines w:val="0"/>
        <w:pageBreakBefore w:val="0"/>
        <w:suppressAutoHyphens/>
        <w:wordWrap/>
        <w:topLinePunct w:val="0"/>
        <w:bidi w:val="0"/>
        <w:spacing w:line="590" w:lineRule="exact"/>
        <w:ind w:left="0" w:leftChars="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 xml:space="preserve">第九条  </w:t>
      </w:r>
      <w:r>
        <w:rPr>
          <w:rFonts w:hint="eastAsia" w:ascii="Times New Roman" w:hAnsi="Times New Roman" w:eastAsia="方正仿宋_GBK" w:cs="Times New Roman"/>
          <w:b w:val="0"/>
          <w:bCs/>
          <w:color w:val="auto"/>
          <w:sz w:val="32"/>
          <w:szCs w:val="32"/>
          <w:lang w:val="en-US" w:eastAsia="zh-CN"/>
        </w:rPr>
        <w:t>国有独资企业上交年度净利润的比例暂定为30%。</w:t>
      </w:r>
    </w:p>
    <w:p w14:paraId="77F85F36">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 xml:space="preserve">第十条  </w:t>
      </w:r>
      <w:r>
        <w:rPr>
          <w:rFonts w:hint="eastAsia" w:ascii="Times New Roman" w:hAnsi="Times New Roman" w:eastAsia="方正仿宋_GBK" w:cs="Times New Roman"/>
          <w:b w:val="0"/>
          <w:bCs/>
          <w:color w:val="auto"/>
          <w:sz w:val="32"/>
          <w:szCs w:val="32"/>
          <w:lang w:val="en-US" w:eastAsia="zh-CN"/>
        </w:rPr>
        <w:t>国有控股、参股企业应付国有股股利、股息，按照股东会或者股东大会决议通过的利润分配方案执行。</w:t>
      </w:r>
    </w:p>
    <w:p w14:paraId="4F0DE9E4">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国有控股、参股企业应当依法分配年度净利润。当年不予分配的，应当说明暂不分配的理由和依据，并出具股东会或者股东大会的决议。</w:t>
      </w:r>
    </w:p>
    <w:p w14:paraId="157F5544">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 xml:space="preserve">第十一条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区属企业上交国有资本收益区别以下情况核定：</w:t>
      </w:r>
    </w:p>
    <w:p w14:paraId="6236279F">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（一）应交利润，根据经中国注册会计师审计的企业年度合并财务报表反映的“归属于母公司所有者的净利润”和规定的上交比例计算核定；</w:t>
      </w:r>
    </w:p>
    <w:p w14:paraId="5245A7F5">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（二）国有股股利、股息，根据国有控股、参股企业关于利润分配的决议核定；</w:t>
      </w:r>
    </w:p>
    <w:p w14:paraId="35213933">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（三）国有产权转让收入，根据企业产权转让合同或协议、资产评估报告及核准或备案文件等资料核定；</w:t>
      </w:r>
    </w:p>
    <w:p w14:paraId="4DF0C07C">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（四）企业清算收入，根据清算组或者管理人提交的企业清算报告核定；</w:t>
      </w:r>
    </w:p>
    <w:p w14:paraId="5CE53DA8">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（五）其他国有资本收益，根据有关经济行为的财务会计资料核定。</w:t>
      </w:r>
    </w:p>
    <w:p w14:paraId="4F730FC5">
      <w:pPr>
        <w:keepNext w:val="0"/>
        <w:keepLines w:val="0"/>
        <w:pageBreakBefore w:val="0"/>
        <w:suppressAutoHyphens/>
        <w:wordWrap/>
        <w:topLinePunct w:val="0"/>
        <w:bidi w:val="0"/>
        <w:snapToGrid w:val="0"/>
        <w:spacing w:line="590" w:lineRule="exact"/>
        <w:ind w:left="0" w:leftChars="0" w:firstLine="640" w:firstLineChars="200"/>
        <w:rPr>
          <w:rFonts w:ascii="方正小标宋简体" w:hAnsi="Calibri" w:eastAsia="方正小标宋简体" w:cs="Times New Roman"/>
          <w:sz w:val="32"/>
          <w:szCs w:val="32"/>
        </w:rPr>
      </w:pPr>
      <w:r>
        <w:rPr>
          <w:rFonts w:hint="eastAsia" w:ascii="方正黑体_GBK" w:hAnsi="方正黑体_GBK" w:eastAsia="方正黑体_GBK" w:cs="方正黑体_GBK"/>
          <w:sz w:val="32"/>
          <w:szCs w:val="32"/>
        </w:rPr>
        <w:t xml:space="preserve">第十二条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区属企业由于政策等原因进行重大调整，或者由于遭受重大自然灾害等不可抗力因素造成巨大损失，需要减免应交利润的，应当向区级预算单位、区财政局提出申请，由区财政局会商区级预算单位报区政府批准后，将减免的应交利润直接转增国家资本或者国有资本公积。</w:t>
      </w:r>
    </w:p>
    <w:p w14:paraId="762FE906">
      <w:pPr>
        <w:keepNext w:val="0"/>
        <w:keepLines w:val="0"/>
        <w:pageBreakBefore w:val="0"/>
        <w:numPr>
          <w:ilvl w:val="0"/>
          <w:numId w:val="1"/>
        </w:numPr>
        <w:suppressAutoHyphens/>
        <w:wordWrap/>
        <w:topLinePunct w:val="0"/>
        <w:bidi w:val="0"/>
        <w:spacing w:line="590" w:lineRule="exact"/>
        <w:ind w:left="0" w:leftChars="0" w:firstLine="0" w:firstLineChars="0"/>
        <w:jc w:val="center"/>
        <w:rPr>
          <w:rFonts w:ascii="黑体" w:hAnsi="黑体" w:eastAsia="黑体" w:cs="Times New Roman"/>
          <w:sz w:val="32"/>
          <w:szCs w:val="32"/>
        </w:rPr>
      </w:pPr>
      <w:r>
        <w:rPr>
          <w:rFonts w:ascii="黑体" w:hAnsi="黑体" w:eastAsia="黑体" w:cs="Times New Roman"/>
          <w:sz w:val="32"/>
          <w:szCs w:val="32"/>
        </w:rPr>
        <w:t xml:space="preserve"> </w:t>
      </w:r>
      <w:r>
        <w:rPr>
          <w:rFonts w:hint="eastAsia" w:ascii="方正黑体_GBK" w:hAnsi="方正黑体_GBK" w:eastAsia="方正黑体_GBK" w:cs="方正黑体_GBK"/>
          <w:sz w:val="32"/>
          <w:szCs w:val="32"/>
        </w:rPr>
        <w:t>区属企业国有资本收益的上交</w:t>
      </w:r>
    </w:p>
    <w:p w14:paraId="11D7D960">
      <w:pPr>
        <w:keepNext w:val="0"/>
        <w:keepLines w:val="0"/>
        <w:pageBreakBefore w:val="0"/>
        <w:suppressAutoHyphens/>
        <w:wordWrap/>
        <w:topLinePunct w:val="0"/>
        <w:bidi w:val="0"/>
        <w:snapToGrid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第十三条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区属企业国有资本收益上交，使用《政府收支分类科目》中“国有资本经营收入”下相应的目级科目。</w:t>
      </w:r>
    </w:p>
    <w:p w14:paraId="4F08242F">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 xml:space="preserve">第十四条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区属企业国有资本收益上交，按照以下程序执行：</w:t>
      </w:r>
    </w:p>
    <w:p w14:paraId="5FFB3C07">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（一）区级预算单位在收到所监管（或所属）企业上报的区属企业国有资本收益申报表及相关材料后15个工作日内，提出审核意见，报送区财政局复核；</w:t>
      </w:r>
    </w:p>
    <w:p w14:paraId="13F004F7">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（二）区财政局在收到区级预算单位的审核意见后15个工作日内完成复核工作；</w:t>
      </w:r>
    </w:p>
    <w:p w14:paraId="329DCACF">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（三）区级预算单位根据区财政局的复核结果，向所监管（或所属）企业下达国有资本收益上交通知，并开具《安徽省统一公共支付平台电子缴款书》；</w:t>
      </w:r>
    </w:p>
    <w:p w14:paraId="738E84A0">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Times New Roman" w:hAnsi="Times New Roman" w:eastAsia="方正仿宋_GBK" w:cs="Times New Roman"/>
          <w:b w:val="0"/>
          <w:bCs/>
          <w:color w:val="auto"/>
          <w:sz w:val="32"/>
          <w:szCs w:val="32"/>
          <w:lang w:val="en-US" w:eastAsia="zh-CN"/>
        </w:rPr>
        <w:t>（四）区属企业依据区级预算单位下达的国有资本收益上交通知和《安徽省统一公共支付平台电子缴款书》，在规定期限内办理国有资本收益缴款手续，将应交款项及时足额交入区政府非税收入汇缴结算户。</w:t>
      </w:r>
    </w:p>
    <w:p w14:paraId="6D8B98A2">
      <w:pPr>
        <w:keepNext w:val="0"/>
        <w:keepLines w:val="0"/>
        <w:pageBreakBefore w:val="0"/>
        <w:suppressAutoHyphens/>
        <w:wordWrap/>
        <w:topLinePunct w:val="0"/>
        <w:bidi w:val="0"/>
        <w:spacing w:line="590" w:lineRule="exact"/>
        <w:ind w:left="0" w:leftChars="0" w:firstLine="640" w:firstLineChars="200"/>
        <w:jc w:val="left"/>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 xml:space="preserve">第十五条 </w:t>
      </w:r>
      <w:r>
        <w:rPr>
          <w:rFonts w:hint="eastAsia" w:ascii="黑体" w:hAnsi="黑体" w:eastAsia="黑体"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区属企业当年应交利润、股利（股息）收入、产权转让收入、清算收入和其他国有资本收益，应当在申报日后5个月内交清。</w:t>
      </w:r>
    </w:p>
    <w:p w14:paraId="7F6AB8D8">
      <w:pPr>
        <w:keepNext w:val="0"/>
        <w:keepLines w:val="0"/>
        <w:pageBreakBefore w:val="0"/>
        <w:suppressAutoHyphens/>
        <w:wordWrap/>
        <w:topLinePunct w:val="0"/>
        <w:bidi w:val="0"/>
        <w:spacing w:line="590" w:lineRule="exact"/>
        <w:ind w:left="0" w:leftChars="0" w:firstLine="640" w:firstLineChars="200"/>
        <w:rPr>
          <w:rFonts w:ascii="黑体" w:hAnsi="黑体" w:eastAsia="黑体" w:cs="Times New Roman"/>
          <w:sz w:val="32"/>
          <w:szCs w:val="32"/>
        </w:rPr>
      </w:pPr>
      <w:r>
        <w:rPr>
          <w:rFonts w:hint="eastAsia" w:ascii="方正黑体_GBK" w:hAnsi="方正黑体_GBK" w:eastAsia="方正黑体_GBK" w:cs="方正黑体_GBK"/>
          <w:sz w:val="32"/>
          <w:szCs w:val="32"/>
        </w:rPr>
        <w:t xml:space="preserve">第十六条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对已缴入区政府非税收入汇缴结算户的国有资本收益，由区非税收入征收管理机构按照收入级次和规定的科目类别及时足额划解区国库，纳入国库管理。</w:t>
      </w:r>
    </w:p>
    <w:p w14:paraId="28E3D927">
      <w:pPr>
        <w:keepNext w:val="0"/>
        <w:keepLines w:val="0"/>
        <w:pageBreakBefore w:val="0"/>
        <w:numPr>
          <w:ilvl w:val="0"/>
          <w:numId w:val="1"/>
        </w:numPr>
        <w:suppressAutoHyphens/>
        <w:wordWrap/>
        <w:topLinePunct w:val="0"/>
        <w:bidi w:val="0"/>
        <w:spacing w:line="590" w:lineRule="exact"/>
        <w:ind w:left="0" w:leftChars="0" w:firstLine="0" w:firstLineChars="0"/>
        <w:jc w:val="center"/>
        <w:rPr>
          <w:rFonts w:ascii="黑体" w:hAnsi="黑体" w:eastAsia="黑体" w:cs="Times New Roman"/>
          <w:sz w:val="32"/>
          <w:szCs w:val="32"/>
        </w:rPr>
      </w:pPr>
      <w:r>
        <w:rPr>
          <w:rFonts w:ascii="黑体" w:hAnsi="黑体" w:eastAsia="黑体" w:cs="Times New Roman"/>
          <w:sz w:val="32"/>
          <w:szCs w:val="32"/>
        </w:rPr>
        <w:t xml:space="preserve"> </w:t>
      </w:r>
      <w:r>
        <w:rPr>
          <w:rFonts w:hint="eastAsia" w:ascii="方正黑体_GBK" w:hAnsi="方正黑体_GBK" w:eastAsia="方正黑体_GBK" w:cs="方正黑体_GBK"/>
          <w:sz w:val="32"/>
          <w:szCs w:val="32"/>
        </w:rPr>
        <w:t>监督检查</w:t>
      </w:r>
    </w:p>
    <w:p w14:paraId="007C5AF5">
      <w:pPr>
        <w:keepNext w:val="0"/>
        <w:keepLines w:val="0"/>
        <w:pageBreakBefore w:val="0"/>
        <w:suppressAutoHyphens/>
        <w:wordWrap/>
        <w:topLinePunct w:val="0"/>
        <w:bidi w:val="0"/>
        <w:spacing w:line="590" w:lineRule="exact"/>
        <w:ind w:firstLine="640" w:firstLineChars="200"/>
        <w:rPr>
          <w:rFonts w:ascii="Times New Roman" w:hAnsi="Times New Roman" w:eastAsia="方正仿宋_GBK" w:cs="Times New Roman"/>
          <w:sz w:val="32"/>
          <w:szCs w:val="32"/>
        </w:rPr>
      </w:pPr>
      <w:r>
        <w:rPr>
          <w:rFonts w:hint="eastAsia" w:ascii="方正黑体_GBK" w:hAnsi="方正黑体_GBK" w:eastAsia="方正黑体_GBK" w:cs="方正黑体_GBK"/>
          <w:sz w:val="32"/>
          <w:szCs w:val="32"/>
        </w:rPr>
        <w:t>第十七条</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 xml:space="preserve"> 区属企业应当按时足额上交国有资本收益。对区属企业欠交国有资本收益的情况，区财政局、区级预算单位应及时查明原因，采取措施予以催交，责令限期改正。</w:t>
      </w:r>
    </w:p>
    <w:p w14:paraId="01D05779">
      <w:pPr>
        <w:keepNext w:val="0"/>
        <w:keepLines w:val="0"/>
        <w:pageBreakBefore w:val="0"/>
        <w:suppressAutoHyphens/>
        <w:wordWrap/>
        <w:topLinePunct w:val="0"/>
        <w:bidi w:val="0"/>
        <w:spacing w:line="590" w:lineRule="exact"/>
        <w:ind w:left="0" w:leftChars="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 xml:space="preserve">第十八条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区级预算单位应将区属企业国有资本收益上交情况纳入企业负责人经营业绩考核体系，兑现奖惩。</w:t>
      </w:r>
    </w:p>
    <w:p w14:paraId="6102B738">
      <w:pPr>
        <w:keepNext w:val="0"/>
        <w:keepLines w:val="0"/>
        <w:pageBreakBefore w:val="0"/>
        <w:suppressAutoHyphens/>
        <w:wordWrap/>
        <w:topLinePunct w:val="0"/>
        <w:bidi w:val="0"/>
        <w:spacing w:line="590" w:lineRule="exact"/>
        <w:ind w:left="0" w:leftChars="0"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 xml:space="preserve">第十九条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b w:val="0"/>
          <w:bCs/>
          <w:color w:val="auto"/>
          <w:sz w:val="32"/>
          <w:szCs w:val="32"/>
          <w:lang w:val="en-US" w:eastAsia="zh-CN"/>
        </w:rPr>
        <w:t>区财政局会同区级预算单位对区属企业国有资本收益实现、上交等情况进行监督检查，区属企业应当予以配合。</w:t>
      </w:r>
    </w:p>
    <w:p w14:paraId="52F4A45C">
      <w:pPr>
        <w:keepNext w:val="0"/>
        <w:keepLines w:val="0"/>
        <w:pageBreakBefore w:val="0"/>
        <w:suppressAutoHyphens/>
        <w:wordWrap/>
        <w:topLinePunct w:val="0"/>
        <w:bidi w:val="0"/>
        <w:spacing w:line="590" w:lineRule="exact"/>
        <w:ind w:left="0" w:leftChars="0" w:firstLine="640" w:firstLineChars="200"/>
      </w:pPr>
      <w:r>
        <w:rPr>
          <w:rFonts w:hint="eastAsia" w:ascii="方正黑体_GBK" w:hAnsi="方正黑体_GBK" w:eastAsia="方正黑体_GBK" w:cs="方正黑体_GBK"/>
          <w:sz w:val="32"/>
          <w:szCs w:val="32"/>
        </w:rPr>
        <w:t xml:space="preserve">第二十条  </w:t>
      </w:r>
      <w:r>
        <w:rPr>
          <w:rFonts w:hint="eastAsia" w:ascii="Times New Roman" w:hAnsi="Times New Roman" w:eastAsia="方正仿宋_GBK" w:cs="Times New Roman"/>
          <w:b w:val="0"/>
          <w:bCs/>
          <w:color w:val="auto"/>
          <w:sz w:val="32"/>
          <w:szCs w:val="32"/>
          <w:lang w:val="zh-CN" w:eastAsia="zh-CN"/>
        </w:rPr>
        <w:t>凡侵占、瞒报、拖欠、挪用、截留以及擅自减免</w:t>
      </w:r>
      <w:r>
        <w:rPr>
          <w:rFonts w:hint="eastAsia" w:ascii="Times New Roman" w:hAnsi="Times New Roman" w:eastAsia="方正仿宋_GBK" w:cs="Times New Roman"/>
          <w:b w:val="0"/>
          <w:bCs/>
          <w:color w:val="auto"/>
          <w:sz w:val="32"/>
          <w:szCs w:val="32"/>
          <w:lang w:val="en-US" w:eastAsia="zh-CN"/>
        </w:rPr>
        <w:t>国有资本收益的，依据《财政违法行为处罚处分条例》、《安徽省财政监督条例》等法律法规的规定处理。</w:t>
      </w:r>
    </w:p>
    <w:p w14:paraId="28470626">
      <w:pPr>
        <w:keepNext w:val="0"/>
        <w:keepLines w:val="0"/>
        <w:pageBreakBefore w:val="0"/>
        <w:numPr>
          <w:ilvl w:val="0"/>
          <w:numId w:val="1"/>
        </w:numPr>
        <w:suppressAutoHyphens/>
        <w:wordWrap/>
        <w:topLinePunct w:val="0"/>
        <w:bidi w:val="0"/>
        <w:spacing w:line="590" w:lineRule="exact"/>
        <w:ind w:left="0" w:leftChars="0" w:firstLine="0" w:firstLineChars="0"/>
        <w:jc w:val="center"/>
        <w:rPr>
          <w:rFonts w:ascii="黑体" w:hAnsi="黑体" w:eastAsia="黑体" w:cs="Times New Roman"/>
          <w:sz w:val="32"/>
          <w:szCs w:val="32"/>
        </w:rPr>
      </w:pPr>
      <w:r>
        <w:rPr>
          <w:rFonts w:ascii="黑体" w:hAnsi="黑体" w:eastAsia="黑体" w:cs="Times New Roman"/>
          <w:sz w:val="32"/>
          <w:szCs w:val="32"/>
        </w:rPr>
        <w:t xml:space="preserve"> </w:t>
      </w:r>
      <w:r>
        <w:rPr>
          <w:rFonts w:hint="eastAsia" w:ascii="方正黑体_GBK" w:hAnsi="方正黑体_GBK" w:eastAsia="方正黑体_GBK" w:cs="方正黑体_GBK"/>
          <w:sz w:val="32"/>
          <w:szCs w:val="32"/>
        </w:rPr>
        <w:t>附  则</w:t>
      </w:r>
    </w:p>
    <w:p w14:paraId="5E779B7D">
      <w:pPr>
        <w:keepNext w:val="0"/>
        <w:keepLines w:val="0"/>
        <w:pageBreakBefore w:val="0"/>
        <w:suppressAutoHyphens/>
        <w:wordWrap/>
        <w:topLinePunct w:val="0"/>
        <w:bidi w:val="0"/>
        <w:spacing w:line="590" w:lineRule="exact"/>
        <w:ind w:firstLine="640" w:firstLineChars="200"/>
        <w:rPr>
          <w:rFonts w:hint="eastAsia" w:ascii="Times New Roman" w:hAnsi="Times New Roman" w:eastAsia="方正仿宋_GBK" w:cs="Times New Roman"/>
          <w:b w:val="0"/>
          <w:bCs/>
          <w:color w:val="auto"/>
          <w:sz w:val="32"/>
          <w:szCs w:val="32"/>
          <w:lang w:val="en-US" w:eastAsia="zh-CN"/>
        </w:rPr>
      </w:pPr>
      <w:r>
        <w:rPr>
          <w:rFonts w:hint="eastAsia" w:ascii="方正黑体_GBK" w:hAnsi="方正黑体_GBK" w:eastAsia="方正黑体_GBK" w:cs="方正黑体_GBK"/>
          <w:sz w:val="32"/>
          <w:szCs w:val="32"/>
        </w:rPr>
        <w:t xml:space="preserve">第二十一条 </w:t>
      </w:r>
      <w:r>
        <w:rPr>
          <w:rFonts w:hint="eastAsia" w:ascii="Times New Roman" w:hAnsi="Times New Roman" w:eastAsia="方正仿宋_GBK" w:cs="Times New Roman"/>
          <w:b w:val="0"/>
          <w:bCs/>
          <w:color w:val="auto"/>
          <w:sz w:val="32"/>
          <w:szCs w:val="32"/>
          <w:lang w:val="en-US" w:eastAsia="zh-CN"/>
        </w:rPr>
        <w:t xml:space="preserve"> 本办法由区财政局负责解释。</w:t>
      </w:r>
    </w:p>
    <w:p w14:paraId="10278D9B">
      <w:pPr>
        <w:pStyle w:val="13"/>
        <w:keepNext w:val="0"/>
        <w:keepLines w:val="0"/>
        <w:pageBreakBefore w:val="0"/>
        <w:widowControl/>
        <w:suppressLineNumbers w:val="0"/>
        <w:kinsoku/>
        <w:wordWrap/>
        <w:overflowPunct w:val="0"/>
        <w:topLinePunct w:val="0"/>
        <w:autoSpaceDE/>
        <w:autoSpaceDN/>
        <w:bidi w:val="0"/>
        <w:adjustRightInd/>
        <w:snapToGrid/>
        <w:spacing w:line="590" w:lineRule="exact"/>
        <w:ind w:left="0" w:leftChars="0" w:right="0" w:firstLine="640" w:firstLineChars="200"/>
        <w:jc w:val="both"/>
        <w:textAlignment w:val="auto"/>
        <w:rPr>
          <w:rFonts w:hint="default"/>
          <w:lang w:eastAsia="zh-CN"/>
        </w:rPr>
      </w:pPr>
      <w:r>
        <w:rPr>
          <w:rFonts w:hint="eastAsia" w:ascii="方正黑体_GBK" w:hAnsi="方正黑体_GBK" w:eastAsia="方正黑体_GBK" w:cs="方正黑体_GBK"/>
          <w:color w:val="auto"/>
          <w:kern w:val="2"/>
          <w:sz w:val="32"/>
          <w:szCs w:val="32"/>
          <w:lang w:val="en-US" w:eastAsia="zh-CN" w:bidi="ar-SA"/>
        </w:rPr>
        <w:t xml:space="preserve">第二十二条  </w:t>
      </w:r>
      <w:r>
        <w:rPr>
          <w:rFonts w:hint="eastAsia" w:ascii="Times New Roman" w:hAnsi="Times New Roman" w:eastAsia="方正仿宋_GBK" w:cs="Times New Roman"/>
          <w:b w:val="0"/>
          <w:bCs/>
          <w:color w:val="auto"/>
          <w:kern w:val="2"/>
          <w:sz w:val="32"/>
          <w:szCs w:val="32"/>
          <w:lang w:val="en-US" w:eastAsia="zh-CN" w:bidi="ar-SA"/>
        </w:rPr>
        <w:t>本办法自印发之日起30日后施行</w:t>
      </w: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EBA10D">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C6D61">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15pt;height:144pt;width:144pt;mso-position-horizontal:outside;mso-position-horizontal-relative:margin;mso-wrap-style:none;z-index:251660288;mso-width-relative:page;mso-height-relative:page;" filled="f" stroked="f" coordsize="21600,21600" o:gfxdata="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EfS6zTAAAABgEAAA8AAAAAAAAAAQAgAAAAIgAAAGRycy9kb3ducmV2LnhtbFBLAQIUABQAAAAI&#10;AIdO4kBy0PJtKwIAAFUEAAAOAAAAAAAAAAEAIAAAACIBAABkcnMvZTJvRG9jLnhtbFBLBQYAAAAA&#10;BgAGAFkBAAC/BQAAAAA=&#10;">
              <v:fill on="f" focussize="0,0"/>
              <v:stroke on="f" weight="0.5pt"/>
              <v:imagedata o:title=""/>
              <o:lock v:ext="edit" aspectratio="f"/>
              <v:textbox inset="0mm,0mm,0mm,0mm" style="mso-fit-shape-to-text:t;">
                <w:txbxContent>
                  <w:p w14:paraId="7D3C6D61">
                    <w:pPr>
                      <w:pStyle w:val="7"/>
                      <w:rPr>
                        <w:rFonts w:hint="default" w:ascii="Times New Roman" w:hAnsi="Times New Roman" w:cs="Times New Roman"/>
                        <w:sz w:val="32"/>
                        <w:szCs w:val="32"/>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69ABFB9A">
    <w:pPr>
      <w:pStyle w:val="11"/>
      <w:tabs>
        <w:tab w:val="left" w:pos="5419"/>
      </w:tabs>
      <w:ind w:left="4788" w:leftChars="2280" w:firstLine="6400" w:firstLineChars="2000"/>
      <w:rPr>
        <w:rFonts w:hint="default" w:eastAsia="仿宋"/>
        <w:sz w:val="32"/>
        <w:szCs w:val="48"/>
        <w:lang w:val="en-US"/>
      </w:rPr>
    </w:pPr>
    <w:r>
      <w:rPr>
        <w:color w:val="FAFAFA"/>
        <w:sz w:val="32"/>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82550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6.5pt;height:0.15pt;width:442.25pt;z-index:251659264;mso-width-relative:page;mso-height-relative:page;" filled="f" stroked="t" coordsize="21600,21600" o:gfxdata="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NOlYA1AAA&#10;AAc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屯溪区人民政府办公室</w:t>
    </w:r>
    <w:r>
      <w:rPr>
        <w:rFonts w:hint="eastAsia" w:ascii="宋体" w:hAnsi="宋体" w:eastAsia="宋体" w:cs="宋体"/>
        <w:b/>
        <w:bCs/>
        <w:color w:val="005192"/>
        <w:sz w:val="28"/>
        <w:szCs w:val="44"/>
      </w:rPr>
      <w:t>发布</w:t>
    </w:r>
    <w:r>
      <w:rPr>
        <w:rFonts w:hint="eastAsia" w:ascii="宋体" w:hAnsi="宋体" w:cs="宋体"/>
        <w:b/>
        <w:bCs/>
        <w:color w:val="005192"/>
        <w:sz w:val="28"/>
        <w:szCs w:val="44"/>
        <w:lang w:val="en-US" w:eastAsia="zh-CN"/>
      </w:rPr>
      <w:t xml:space="preserve">   </w:t>
    </w:r>
    <w:r>
      <w:rPr>
        <w:rFonts w:hint="eastAsia" w:eastAsia="仿宋"/>
        <w:sz w:val="32"/>
        <w:szCs w:val="48"/>
        <w:lang w:eastAsia="zh-CN"/>
      </w:rPr>
      <w:tab/>
    </w:r>
    <w:r>
      <w:rPr>
        <w:rFonts w:hint="eastAsia" w:eastAsia="仿宋"/>
        <w:sz w:val="32"/>
        <w:szCs w:val="48"/>
        <w:lang w:val="en-US" w:eastAsia="zh-CN"/>
      </w:rPr>
      <w:t xml:space="preserve">   </w:t>
    </w:r>
  </w:p>
  <w:p w14:paraId="393ACAE1">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52C7C">
    <w:pPr>
      <w:pStyle w:val="11"/>
      <w:textAlignment w:val="center"/>
      <w:rPr>
        <w:rFonts w:ascii="宋体" w:hAnsi="宋体" w:eastAsia="宋体" w:cs="宋体"/>
        <w:b/>
        <w:bCs/>
        <w:color w:val="005192"/>
        <w:sz w:val="32"/>
        <w:szCs w:val="32"/>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ge">
                <wp:posOffset>1102995</wp:posOffset>
              </wp:positionV>
              <wp:extent cx="5616575" cy="1905"/>
              <wp:effectExtent l="0" t="10795" r="3175" b="15875"/>
              <wp:wrapTopAndBottom/>
              <wp:docPr id="21" name="直接连接符 21"/>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86.85pt;height:0.15pt;width:442.25pt;mso-position-vertical-relative:page;mso-wrap-distance-bottom:0pt;mso-wrap-distance-top:0pt;z-index:251661312;mso-width-relative:page;mso-height-relative:page;" filled="f" stroked="t" coordsize="21600,21600" o:gfxdata="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gFBL&#10;1gAAAAkBAAAPAAAAAAAAAAEAIAAAACIAAABkcnMvZG93bnJldi54bWxQSwECFAAUAAAACACHTuJA&#10;gteiS+oBAAC3AwAADgAAAAAAAAABACAAAAAlAQAAZHJzL2Uyb0RvYy54bWxQSwUGAAAAAAYABgBZ&#10;AQAAgQUAAAAA&#10;">
              <v:fill on="f" focussize="0,0"/>
              <v:stroke weight="1.75pt" color="#005192 [3204]" miterlimit="8" joinstyle="miter"/>
              <v:imagedata o:title=""/>
              <o:lock v:ext="edit" aspectratio="f"/>
              <w10:wrap type="topAndBottom"/>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屯溪区人民政府办公室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2A1B8F"/>
    <w:multiLevelType w:val="singleLevel"/>
    <w:tmpl w:val="EB2A1B8F"/>
    <w:lvl w:ilvl="0" w:tentative="0">
      <w:start w:val="1"/>
      <w:numFmt w:val="chineseCounting"/>
      <w:suff w:val="space"/>
      <w:lvlText w:val="第%1章"/>
      <w:lvlJc w:val="left"/>
      <w:rPr>
        <w:rFonts w:hint="eastAsia" w:ascii="方正黑体_GBK" w:hAnsi="方正黑体_GBK" w:eastAsia="方正黑体_GBK" w:cs="方正黑体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0030d2ee-8235-497d-a6bc-3a5187fc684e"/>
  </w:docVars>
  <w:rsids>
    <w:rsidRoot w:val="00172A27"/>
    <w:rsid w:val="00172A27"/>
    <w:rsid w:val="001A244C"/>
    <w:rsid w:val="00C21F50"/>
    <w:rsid w:val="00C614A6"/>
    <w:rsid w:val="019E71BD"/>
    <w:rsid w:val="04B679C3"/>
    <w:rsid w:val="06CC73A8"/>
    <w:rsid w:val="080F63D8"/>
    <w:rsid w:val="09341458"/>
    <w:rsid w:val="0B0912D7"/>
    <w:rsid w:val="0B7D65FC"/>
    <w:rsid w:val="152D2DCA"/>
    <w:rsid w:val="17FF6A0B"/>
    <w:rsid w:val="1DEC284C"/>
    <w:rsid w:val="1E6523AC"/>
    <w:rsid w:val="22440422"/>
    <w:rsid w:val="26B1E579"/>
    <w:rsid w:val="27077982"/>
    <w:rsid w:val="2BBD07DD"/>
    <w:rsid w:val="3024682F"/>
    <w:rsid w:val="31A15F24"/>
    <w:rsid w:val="395347B5"/>
    <w:rsid w:val="39A232A0"/>
    <w:rsid w:val="39E745AA"/>
    <w:rsid w:val="3AF7A775"/>
    <w:rsid w:val="3B5A6BBB"/>
    <w:rsid w:val="3CECFB30"/>
    <w:rsid w:val="3EDA13A6"/>
    <w:rsid w:val="3EF89074"/>
    <w:rsid w:val="3FBF015B"/>
    <w:rsid w:val="3FEDB706"/>
    <w:rsid w:val="3FFFD2C6"/>
    <w:rsid w:val="41B44E02"/>
    <w:rsid w:val="42F058B7"/>
    <w:rsid w:val="436109F6"/>
    <w:rsid w:val="441A38D4"/>
    <w:rsid w:val="4BC77339"/>
    <w:rsid w:val="4C9236C5"/>
    <w:rsid w:val="505C172E"/>
    <w:rsid w:val="52F46F0B"/>
    <w:rsid w:val="53D8014D"/>
    <w:rsid w:val="55E064E0"/>
    <w:rsid w:val="572C6D10"/>
    <w:rsid w:val="5DC34279"/>
    <w:rsid w:val="5EBFF57E"/>
    <w:rsid w:val="5F4A1193"/>
    <w:rsid w:val="5FFF3173"/>
    <w:rsid w:val="608816D1"/>
    <w:rsid w:val="60EF4E7F"/>
    <w:rsid w:val="629D8E0A"/>
    <w:rsid w:val="665233C1"/>
    <w:rsid w:val="67A020DA"/>
    <w:rsid w:val="67F3476A"/>
    <w:rsid w:val="6AD9688B"/>
    <w:rsid w:val="6BFE0CED"/>
    <w:rsid w:val="6D0E3F22"/>
    <w:rsid w:val="6DFD9271"/>
    <w:rsid w:val="6FE82CD8"/>
    <w:rsid w:val="6FFD085F"/>
    <w:rsid w:val="75FD9FF7"/>
    <w:rsid w:val="776D9A4A"/>
    <w:rsid w:val="77EFD1A0"/>
    <w:rsid w:val="7B2F89FD"/>
    <w:rsid w:val="7C9011D9"/>
    <w:rsid w:val="7DC651C5"/>
    <w:rsid w:val="7DFCC429"/>
    <w:rsid w:val="7EDAE488"/>
    <w:rsid w:val="7FBF7B03"/>
    <w:rsid w:val="7FCC2834"/>
    <w:rsid w:val="7FD617F4"/>
    <w:rsid w:val="7FDF7C41"/>
    <w:rsid w:val="7FF7C8FB"/>
    <w:rsid w:val="7FF8A6B0"/>
    <w:rsid w:val="7FFD0266"/>
    <w:rsid w:val="7FFEBE51"/>
    <w:rsid w:val="7FFFD082"/>
    <w:rsid w:val="8D6E52C4"/>
    <w:rsid w:val="8F6E4B31"/>
    <w:rsid w:val="9DFF788F"/>
    <w:rsid w:val="AEEF45E2"/>
    <w:rsid w:val="C9FC2132"/>
    <w:rsid w:val="DDF5F0E0"/>
    <w:rsid w:val="DEFB6250"/>
    <w:rsid w:val="DFFB2C93"/>
    <w:rsid w:val="EBFEBC0F"/>
    <w:rsid w:val="F36FDE65"/>
    <w:rsid w:val="F5FA2B2A"/>
    <w:rsid w:val="F656D6E5"/>
    <w:rsid w:val="F67E36F1"/>
    <w:rsid w:val="F7BF4E61"/>
    <w:rsid w:val="F9B9612C"/>
    <w:rsid w:val="FAEFB9CD"/>
    <w:rsid w:val="FB9ED17B"/>
    <w:rsid w:val="FBD7D598"/>
    <w:rsid w:val="FBED91C0"/>
    <w:rsid w:val="FDEF3A53"/>
    <w:rsid w:val="FEF918B7"/>
    <w:rsid w:val="FFFBB131"/>
    <w:rsid w:val="FFFEA212"/>
    <w:rsid w:val="FFFF6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20">
    <w:name w:val="Default Paragraph Font"/>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4">
    <w:name w:val="Normal Indent"/>
    <w:basedOn w:val="1"/>
    <w:next w:val="1"/>
    <w:qFormat/>
    <w:uiPriority w:val="0"/>
    <w:pPr>
      <w:spacing w:line="560" w:lineRule="exact"/>
      <w:ind w:firstLine="200" w:firstLineChars="200"/>
    </w:pPr>
    <w:rPr>
      <w:rFonts w:eastAsia="仿宋_GB2312"/>
      <w:b/>
      <w:color w:val="000000"/>
      <w:sz w:val="32"/>
      <w:szCs w:val="24"/>
    </w:rPr>
  </w:style>
  <w:style w:type="paragraph" w:styleId="5">
    <w:name w:val="annotation text"/>
    <w:basedOn w:val="1"/>
    <w:qFormat/>
    <w:uiPriority w:val="0"/>
    <w:pPr>
      <w:jc w:val="left"/>
    </w:pPr>
  </w:style>
  <w:style w:type="paragraph" w:styleId="6">
    <w:name w:val="Body Text"/>
    <w:basedOn w:val="1"/>
    <w:next w:val="7"/>
    <w:qFormat/>
    <w:uiPriority w:val="0"/>
    <w:pPr>
      <w:spacing w:before="0" w:after="140" w:line="276" w:lineRule="auto"/>
    </w:pPr>
  </w:style>
  <w:style w:type="paragraph" w:styleId="7">
    <w:name w:val="footer"/>
    <w:basedOn w:val="1"/>
    <w:next w:val="1"/>
    <w:qFormat/>
    <w:uiPriority w:val="0"/>
    <w:pPr>
      <w:tabs>
        <w:tab w:val="center" w:pos="4153"/>
        <w:tab w:val="right" w:pos="8306"/>
      </w:tabs>
      <w:snapToGrid w:val="0"/>
      <w:jc w:val="left"/>
    </w:pPr>
    <w:rPr>
      <w:sz w:val="18"/>
    </w:rPr>
  </w:style>
  <w:style w:type="paragraph" w:styleId="8">
    <w:name w:val="Body Text Indent"/>
    <w:basedOn w:val="1"/>
    <w:next w:val="4"/>
    <w:semiHidden/>
    <w:qFormat/>
    <w:uiPriority w:val="99"/>
    <w:pPr>
      <w:spacing w:after="120"/>
      <w:ind w:left="420" w:leftChars="200"/>
    </w:pPr>
  </w:style>
  <w:style w:type="paragraph" w:styleId="9">
    <w:name w:val="Plain Text"/>
    <w:basedOn w:val="1"/>
    <w:qFormat/>
    <w:uiPriority w:val="0"/>
    <w:rPr>
      <w:rFonts w:ascii="Calibri" w:hAnsi="Calibri"/>
      <w:szCs w:val="21"/>
    </w:rPr>
  </w:style>
  <w:style w:type="paragraph" w:styleId="10">
    <w:name w:val="Balloon Text"/>
    <w:basedOn w:val="1"/>
    <w:link w:val="23"/>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Title"/>
    <w:basedOn w:val="1"/>
    <w:qFormat/>
    <w:uiPriority w:val="0"/>
    <w:pPr>
      <w:jc w:val="center"/>
      <w:outlineLvl w:val="0"/>
    </w:pPr>
    <w:rPr>
      <w:rFonts w:ascii="Arial" w:hAnsi="Arial" w:eastAsia="宋体"/>
      <w:b/>
    </w:rPr>
  </w:style>
  <w:style w:type="paragraph" w:styleId="16">
    <w:name w:val="Body Text First Indent"/>
    <w:basedOn w:val="6"/>
    <w:qFormat/>
    <w:uiPriority w:val="0"/>
    <w:pPr>
      <w:spacing w:after="0"/>
      <w:ind w:firstLine="420"/>
    </w:pPr>
    <w:rPr>
      <w:sz w:val="32"/>
    </w:rPr>
  </w:style>
  <w:style w:type="paragraph" w:styleId="17">
    <w:name w:val="Body Text First Indent 2"/>
    <w:basedOn w:val="8"/>
    <w:next w:val="8"/>
    <w:qFormat/>
    <w:uiPriority w:val="99"/>
    <w:pPr>
      <w:ind w:firstLine="420" w:firstLineChars="200"/>
    </w:pPr>
  </w:style>
  <w:style w:type="table" w:styleId="19">
    <w:name w:val="Table Grid"/>
    <w:basedOn w:val="1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annotation reference"/>
    <w:basedOn w:val="20"/>
    <w:qFormat/>
    <w:uiPriority w:val="0"/>
    <w:rPr>
      <w:sz w:val="21"/>
      <w:szCs w:val="21"/>
    </w:rPr>
  </w:style>
  <w:style w:type="paragraph" w:customStyle="1" w:styleId="2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character" w:customStyle="1" w:styleId="23">
    <w:name w:val="批注框文本 Char"/>
    <w:basedOn w:val="20"/>
    <w:link w:val="10"/>
    <w:qFormat/>
    <w:uiPriority w:val="0"/>
    <w:rPr>
      <w:rFonts w:asciiTheme="minorHAnsi" w:hAnsiTheme="minorHAnsi" w:eastAsiaTheme="minorEastAsia" w:cstheme="minorBidi"/>
      <w:kern w:val="2"/>
      <w:sz w:val="18"/>
      <w:szCs w:val="18"/>
    </w:rPr>
  </w:style>
  <w:style w:type="paragraph" w:customStyle="1" w:styleId="24">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NormalCharacter"/>
    <w:semiHidden/>
    <w:qFormat/>
    <w:uiPriority w:val="0"/>
    <w:rPr>
      <w:rFonts w:eastAsia="方正仿宋_GBK"/>
      <w:kern w:val="2"/>
      <w:sz w:val="32"/>
      <w:szCs w:val="32"/>
      <w:lang w:val="en-US" w:eastAsia="zh-CN" w:bidi="ar-SA"/>
    </w:rPr>
  </w:style>
  <w:style w:type="paragraph" w:customStyle="1" w:styleId="26">
    <w:name w:val="p0"/>
    <w:basedOn w:val="1"/>
    <w:qFormat/>
    <w:uiPriority w:val="0"/>
    <w:pPr>
      <w:widowControl/>
    </w:pPr>
    <w:rPr>
      <w:rFonts w:ascii="Calibri" w:hAnsi="Calibri" w:cs="宋体"/>
      <w:kern w:val="0"/>
      <w:szCs w:val="21"/>
    </w:rPr>
  </w:style>
  <w:style w:type="paragraph" w:customStyle="1" w:styleId="27">
    <w:name w:val="公文正文"/>
    <w:basedOn w:val="28"/>
    <w:qFormat/>
    <w:uiPriority w:val="0"/>
    <w:pPr>
      <w:widowControl/>
      <w:overflowPunct w:val="0"/>
      <w:adjustRightInd w:val="0"/>
      <w:snapToGrid w:val="0"/>
      <w:spacing w:line="560" w:lineRule="exact"/>
      <w:ind w:firstLine="420" w:firstLineChars="200"/>
      <w:jc w:val="both"/>
      <w:outlineLvl w:val="9"/>
    </w:pPr>
    <w:rPr>
      <w:rFonts w:ascii="Times New Roman" w:hAnsi="Times New Roman" w:eastAsia="仿宋_GB2312"/>
      <w:sz w:val="32"/>
      <w:szCs w:val="32"/>
    </w:rPr>
  </w:style>
  <w:style w:type="paragraph" w:customStyle="1" w:styleId="28">
    <w:name w:val="公文标题"/>
    <w:basedOn w:val="1"/>
    <w:qFormat/>
    <w:uiPriority w:val="0"/>
    <w:pPr>
      <w:widowControl/>
      <w:overflowPunct w:val="0"/>
      <w:adjustRightInd w:val="0"/>
      <w:snapToGrid w:val="0"/>
      <w:spacing w:line="560" w:lineRule="exact"/>
      <w:ind w:firstLine="0" w:firstLineChars="0"/>
      <w:jc w:val="center"/>
      <w:outlineLvl w:val="0"/>
    </w:pPr>
    <w:rPr>
      <w:rFonts w:ascii="Times New Roman" w:hAnsi="Times New Roman" w:eastAsia="方正小标宋_GBK" w:cs="Times New Roman"/>
      <w:sz w:val="44"/>
      <w:szCs w:val="44"/>
    </w:rPr>
  </w:style>
  <w:style w:type="character" w:customStyle="1" w:styleId="29">
    <w:name w:val="第n条"/>
    <w:qFormat/>
    <w:uiPriority w:val="0"/>
    <w:rPr>
      <w:rFonts w:ascii="黑体" w:hAnsi="黑体"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2643</Words>
  <Characters>2670</Characters>
  <Lines>5</Lines>
  <Paragraphs>1</Paragraphs>
  <TotalTime>5</TotalTime>
  <ScaleCrop>false</ScaleCrop>
  <LinksUpToDate>false</LinksUpToDate>
  <CharactersWithSpaces>2725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2021-09-20T18:41:00Z</dcterms:created>
  <dc:creator>t</dc:creator>
  <cp:lastModifiedBy>箜篌、</cp:lastModifiedBy>
  <cp:lastPrinted>2021-11-06T19:30:00Z</cp:lastPrinted>
  <dcterms:modified xsi:type="dcterms:W3CDTF">2025-12-18T08:15:43Z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48C61CB29D3F4D9384F5922CF0F7FFB4</vt:lpwstr>
  </property>
  <property fmtid="{D5CDD505-2E9C-101B-9397-08002B2CF9AE}" pid="4" name="KSOTemplateDocerSaveRecord">
    <vt:lpwstr>eyJoZGlkIjoiYzNjN2FiNGQwNzAyZmVlZjE2YzQ2ZDJlYjVkYTk4NjciLCJ1c2VySWQiOiIyNzQ2MzgwMzgifQ==</vt:lpwstr>
  </property>
</Properties>
</file>