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E203A">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9EB62AD">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267A3F0B">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r>
        <w:rPr>
          <w:rFonts w:hint="eastAsia"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t>屯溪区人民政府</w:t>
      </w:r>
      <w:r>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t>关于对屯溪区符合条件的</w:t>
      </w:r>
    </w:p>
    <w:p w14:paraId="737DB957">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t>被征地农民社会保障对象实行基本养老</w:t>
      </w:r>
    </w:p>
    <w:p w14:paraId="02D0FFC3">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t>保险缴费补贴政策的通知</w:t>
      </w:r>
    </w:p>
    <w:p w14:paraId="6B02BEC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屯政〔202</w:t>
      </w: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4</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w:t>
      </w: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11</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号</w:t>
      </w:r>
    </w:p>
    <w:p w14:paraId="613220BE">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p>
    <w:p w14:paraId="696ABCB4">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各镇人民政府，街道办事处，区直有关部门：</w:t>
      </w:r>
    </w:p>
    <w:p w14:paraId="5196D1D9">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为切实维护被征地农民社会保障权益，根据《安徽省实施&lt;中华人民共和国土地管理法&gt;办法》《安徽省人民政府关于对符合条件的被征地农民社会保障对象实行基本养老保险缴费补贴政策的通知》（皖政〔2023〕72号）相关规定，决定对屯溪区符合保障条件的被征地农民社会保障对象实行基本养老保险缴费补贴（以下简称“缴费补贴”）。现将有关事项通知如下：</w:t>
      </w:r>
    </w:p>
    <w:p w14:paraId="02BD6937">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一、补贴范围和对象</w:t>
      </w:r>
    </w:p>
    <w:p w14:paraId="5F695EA4">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自2024年1月1日起，在屯溪区范围内，由政府在依法征收农民集体所有土地时，将被征地农民安置人员中失去全部或大部分土地（人均所剩耕地面积不足0.3亩）、年满16周岁的人员纳入缴费补贴范围，按照本政策规定享受缴费补贴。</w:t>
      </w:r>
    </w:p>
    <w:p w14:paraId="38FCA8F0">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二、</w:t>
      </w:r>
      <w:r>
        <w:rPr>
          <w:rFonts w:hint="default" w:ascii="方正黑体_GBK" w:hAnsi="方正黑体_GBK" w:eastAsia="方正黑体_GBK" w:cs="方正黑体_GBK"/>
          <w:color w:val="000000"/>
          <w:kern w:val="2"/>
          <w:sz w:val="32"/>
          <w:szCs w:val="32"/>
          <w:lang w:val="en-US" w:eastAsia="zh-CN" w:bidi="ar-SA"/>
        </w:rPr>
        <w:t>补贴办法</w:t>
      </w:r>
    </w:p>
    <w:p w14:paraId="1368A293">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黑体" w:hAnsi="黑体" w:eastAsia="黑体" w:cs="黑体"/>
          <w:color w:val="000000"/>
          <w:kern w:val="2"/>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
        </w:rPr>
        <w:t>（一）</w:t>
      </w:r>
      <w:r>
        <w:rPr>
          <w:rFonts w:hint="default" w:ascii="Times New Roman" w:hAnsi="Times New Roman" w:eastAsia="方正仿宋_GBK" w:cs="Times New Roman"/>
          <w:color w:val="auto"/>
          <w:kern w:val="0"/>
          <w:sz w:val="32"/>
          <w:szCs w:val="32"/>
          <w:lang w:val="en-US" w:eastAsia="zh-CN" w:bidi="ar"/>
        </w:rPr>
        <w:t>政府依法征收农民集体所有土地时，补贴对象参加基本养老保险的，可享受缴费补贴。补贴对象不参加基本养老保险</w:t>
      </w:r>
    </w:p>
    <w:p w14:paraId="13BFA8E0">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的不享受缴费补贴。</w:t>
      </w:r>
    </w:p>
    <w:p w14:paraId="5BBDF770">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二</w:t>
      </w:r>
      <w:r>
        <w:rPr>
          <w:rFonts w:hint="default" w:ascii="Times New Roman" w:hAnsi="Times New Roman" w:eastAsia="方正仿宋_GBK" w:cs="Times New Roman"/>
          <w:color w:val="auto"/>
          <w:kern w:val="0"/>
          <w:sz w:val="32"/>
          <w:szCs w:val="32"/>
          <w:lang w:val="en-US" w:eastAsia="zh-CN" w:bidi="ar"/>
        </w:rPr>
        <w:t>）补贴对象参加职工基本养老保险、城乡居民基本养老保险享受同等补贴标准。鼓励补贴对象参加职工基本养老保险，补贴对象参加职工基本养老保险的，已领取职工养老保险待遇的一次性发放给个人；处于缴费期的，可凭缴费凭证逐年发放给个人。补贴对象参加城乡居民养老保险的，在个人正常缴费的基础上给予缴费补贴，分15年逐年计入个人账户；已领取城乡居民养老保险待遇或领取待遇时有缴费补贴余额的一次性计入个人账户。</w:t>
      </w:r>
    </w:p>
    <w:p w14:paraId="35A1476F">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补贴对象享受征地缴费补贴标准为土地被依法征收时屯溪地区平均土地区片综合地价。今后由区人力资源和社会保障局、区财政局会同区自然资源和规划局结合屯溪地区平均土地区片综合地价、屯溪经济发展水平适时拟定调整方案，经区政府同意后实施。</w:t>
      </w:r>
    </w:p>
    <w:p w14:paraId="3C027F4D">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四）屯溪区政府以征收土地被依法批准之日为基准日，在被征收土地安置人员中确定缴费补贴对象，经被征地农民确认并按规定公示缴费补贴对象名单，经区自然资源和规划局确认征收土地的面积和征收土地时间等情况、区农业农村局协助确认缴费补贴对象身份资格等情况，报送区人力资源和社会保障局、区财政局复审、登记，建立被征地个人账户并给予其缴费补贴。</w:t>
      </w:r>
    </w:p>
    <w:p w14:paraId="46BDAE0E">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color w:val="000000"/>
          <w:kern w:val="2"/>
          <w:sz w:val="32"/>
          <w:szCs w:val="32"/>
          <w:lang w:val="en-US" w:eastAsia="zh-CN" w:bidi="ar-SA"/>
        </w:rPr>
      </w:pPr>
      <w:r>
        <w:rPr>
          <w:rFonts w:hint="default" w:ascii="方正黑体_GBK" w:hAnsi="方正黑体_GBK" w:eastAsia="方正黑体_GBK" w:cs="方正黑体_GBK"/>
          <w:color w:val="000000"/>
          <w:kern w:val="2"/>
          <w:sz w:val="32"/>
          <w:szCs w:val="32"/>
          <w:lang w:val="en-US" w:eastAsia="zh-CN" w:bidi="ar-SA"/>
        </w:rPr>
        <w:t>三、社会保障费用筹集与管理</w:t>
      </w:r>
    </w:p>
    <w:p w14:paraId="1209884D">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（一）政府依法征收屯溪区农民集体所有土地时，应当足额安排被征地农民社会保障费用，计入征地成本，列入工程预算。</w:t>
      </w:r>
    </w:p>
    <w:p w14:paraId="0CCD42F2">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二）根据屯溪区平均土地区片综合地价、单独选址用地（政府批次用地）、社会保障费用需求等情况，确定每亩土地的被征地农民社会保障费用筹集标准。计算公式：区片综合地价（万元/亩）×拟征收农民集体所有土地的面积（亩）, 或缴费补贴标准×保障人数。今后由区人力资源和社会保障局会同区自然资源和规划局、区财政局结合区片土地综合地价、社会保障费用需求等情况，适时拟定调整方案，经区政府同意实施。筹集的社会保障费用，主要用于保障对象缴费补贴和本通知执行前的被征地农民保障对象待遇支付。筹集资金不足以支付的，由区财政解决。</w:t>
      </w:r>
    </w:p>
    <w:p w14:paraId="6ACC81AD">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（三）区财政局、区自然资源和规划局、区人力资源和社会保障局按照筹集标准，及时足额筹集社会保障费用，并存至预存征地准备金账户。社会保障费用预存不到位的，不得报批征地。</w:t>
      </w:r>
    </w:p>
    <w:p w14:paraId="668ABCD9">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四）征收土地被依法批准后，区财政局、区自然资源和规划局要及时将预存的社会保障费用转存至被征地农民社会保障资金专户。没有转存社会保障费用的，不得实施征地。征地未获批准的，预存的费用返还预存单位。</w:t>
      </w:r>
    </w:p>
    <w:p w14:paraId="048E480E">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五）区财政局、区人力资源和社会保障局、区自然资源和规划局要按照部门职责，加强社会保障费用资金监管，实行财政专户、收支两条线管理，做到专款专用。建立并严格落实资金预提、对账等机制，严禁拖欠、挤占、截留、挪用资金。发现资金管理问题，要立即整改，并依法依规追究相关责任人责任。</w:t>
      </w:r>
    </w:p>
    <w:p w14:paraId="1CFD4583">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color w:val="000000"/>
          <w:kern w:val="2"/>
          <w:sz w:val="32"/>
          <w:szCs w:val="32"/>
          <w:lang w:val="en-US" w:eastAsia="zh-CN" w:bidi="ar-SA"/>
        </w:rPr>
      </w:pPr>
      <w:r>
        <w:rPr>
          <w:rFonts w:hint="default" w:ascii="方正黑体_GBK" w:hAnsi="方正黑体_GBK" w:eastAsia="方正黑体_GBK" w:cs="方正黑体_GBK"/>
          <w:color w:val="000000"/>
          <w:kern w:val="2"/>
          <w:sz w:val="32"/>
          <w:szCs w:val="32"/>
          <w:lang w:val="en-US" w:eastAsia="zh-CN" w:bidi="ar-SA"/>
        </w:rPr>
        <w:t>四、新老政策衔接</w:t>
      </w:r>
    </w:p>
    <w:p w14:paraId="4C4FF2F5">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（一）本政策执行前屯溪区已经确定的被征地农民社会保障对象，原则上继续按原政策规定进行保障。</w:t>
      </w:r>
    </w:p>
    <w:p w14:paraId="62B50318">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二）本政策执行前屯溪区已经确定的被征地农民社会保障对象，达到待遇领取年龄按月享受被征地农民养老保障待遇的，从2024年1月起，55-59周岁领取待遇人员月养老保险金标准由160元调整为220元；60周岁及以上领取待遇人员月养老保险金标准由160元调整为260元。今后由区人力资源和社会保障局会同区财政局、结合屯溪区经济发展水平，适时拟定调整方案，经区政府同意后实施。</w:t>
      </w:r>
    </w:p>
    <w:p w14:paraId="594A1638">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（三）本政策执行前屯溪区已经确定的被征地农民社会保障对象，其承包的土地再次被依法征收时，已经按原政策享受被征地农民养老保障待遇的不再给予缴费补贴。</w:t>
      </w:r>
    </w:p>
    <w:p w14:paraId="3E355313">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（四）本政策执行前的被征地农民保障对象待遇支付按原渠道解决。</w:t>
      </w:r>
    </w:p>
    <w:p w14:paraId="62111B44">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color w:val="000000"/>
          <w:kern w:val="2"/>
          <w:sz w:val="32"/>
          <w:szCs w:val="32"/>
          <w:lang w:val="en-US" w:eastAsia="zh-CN" w:bidi="ar-SA"/>
        </w:rPr>
      </w:pPr>
      <w:r>
        <w:rPr>
          <w:rFonts w:hint="default" w:ascii="方正黑体_GBK" w:hAnsi="方正黑体_GBK" w:eastAsia="方正黑体_GBK" w:cs="方正黑体_GBK"/>
          <w:color w:val="000000"/>
          <w:kern w:val="2"/>
          <w:sz w:val="32"/>
          <w:szCs w:val="32"/>
          <w:lang w:val="en-US" w:eastAsia="zh-CN" w:bidi="ar-SA"/>
        </w:rPr>
        <w:t>五、工作要求</w:t>
      </w:r>
    </w:p>
    <w:p w14:paraId="44374C4D">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（一）高度重视，精心组织。</w:t>
      </w:r>
      <w:r>
        <w:rPr>
          <w:rFonts w:hint="default" w:ascii="Times New Roman" w:hAnsi="Times New Roman" w:eastAsia="方正仿宋_GBK" w:cs="Times New Roman"/>
          <w:color w:val="auto"/>
          <w:kern w:val="0"/>
          <w:sz w:val="32"/>
          <w:szCs w:val="32"/>
          <w:lang w:val="en-US" w:eastAsia="zh-CN" w:bidi="ar"/>
        </w:rPr>
        <w:t>被征地农民社会保障对象征地缴费补贴工作政策性强、涉及面广。区人力资源和社会保障局、区财政局、区自然资源和规划局、区农业农村局、各镇人民政府、街道办事处要高度重视，加强领导，统筹协调，精心组织，积极稳妥推动政策落地落实。</w:t>
      </w:r>
    </w:p>
    <w:p w14:paraId="70613D9B">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方正楷体_GBK" w:hAnsi="方正楷体_GBK" w:eastAsia="方正楷体_GBK" w:cs="方正楷体_GBK"/>
          <w:color w:val="auto"/>
          <w:kern w:val="0"/>
          <w:sz w:val="32"/>
          <w:szCs w:val="32"/>
          <w:lang w:val="en-US" w:eastAsia="zh-CN" w:bidi="ar"/>
        </w:rPr>
        <w:t>（二）各负其责，抓好落实。</w:t>
      </w:r>
      <w:r>
        <w:rPr>
          <w:rFonts w:hint="default" w:ascii="Times New Roman" w:hAnsi="Times New Roman" w:eastAsia="方正仿宋_GBK" w:cs="Times New Roman"/>
          <w:color w:val="auto"/>
          <w:kern w:val="0"/>
          <w:sz w:val="32"/>
          <w:szCs w:val="32"/>
          <w:lang w:val="en-US" w:eastAsia="zh-CN" w:bidi="ar"/>
        </w:rPr>
        <w:t>区人力资源和社会保障局、区财政局、区自然资源和规划局、区农业农村局、各镇人民政府、街道办事处要相互配合，做好补贴对象名单审核、公示工作，按照社会保障费用筹集标准和征地缴费补贴标准，及时筹集资金，确保被征地农民缴费补贴及时足额到位、社会保障待遇按时足额发放。</w:t>
      </w:r>
    </w:p>
    <w:p w14:paraId="7CDD0430">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方正楷体_GBK" w:hAnsi="方正楷体_GBK" w:eastAsia="方正楷体_GBK" w:cs="方正楷体_GBK"/>
          <w:color w:val="auto"/>
          <w:kern w:val="0"/>
          <w:sz w:val="32"/>
          <w:szCs w:val="32"/>
          <w:lang w:val="en-US" w:eastAsia="zh-CN" w:bidi="ar"/>
        </w:rPr>
        <w:t>（三）防范风险，平稳衔接。</w:t>
      </w:r>
      <w:r>
        <w:rPr>
          <w:rFonts w:hint="default" w:ascii="Times New Roman" w:hAnsi="Times New Roman" w:eastAsia="方正仿宋_GBK" w:cs="Times New Roman"/>
          <w:color w:val="auto"/>
          <w:kern w:val="0"/>
          <w:sz w:val="32"/>
          <w:szCs w:val="32"/>
          <w:lang w:val="en-US" w:eastAsia="zh-CN" w:bidi="ar"/>
        </w:rPr>
        <w:t>要统筹考虑屯溪区被征地农民社会保障历史现状和征地用地的实际情况，审慎开展被征地农民政策宣传，做好信访维稳工作。认真研判社会风险，建立信息共享机制，加强沟通协调，妥善处理好新老政策衔接出现的新情况新问题。要逐步缩小新老政策待遇水平差距，顺利实现政策平稳衔接，确保社会稳定。</w:t>
      </w:r>
    </w:p>
    <w:p w14:paraId="533AE464">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本政策自印发之日起执行，屯溪区有关被征地农民社会保障政策规定与本政策不一</w:t>
      </w:r>
      <w:bookmarkStart w:id="0" w:name="_GoBack"/>
      <w:bookmarkEnd w:id="0"/>
      <w:r>
        <w:rPr>
          <w:rFonts w:hint="default" w:ascii="Times New Roman" w:hAnsi="Times New Roman" w:eastAsia="方正仿宋_GBK" w:cs="Times New Roman"/>
          <w:color w:val="auto"/>
          <w:kern w:val="0"/>
          <w:sz w:val="32"/>
          <w:szCs w:val="32"/>
          <w:lang w:val="en-US" w:eastAsia="zh-CN" w:bidi="ar"/>
        </w:rPr>
        <w:t>致的，按本政策执行。</w:t>
      </w:r>
    </w:p>
    <w:p w14:paraId="10E21747">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2024年1月1日至本政策执行前符合本政策条件的，参照本政策执行。</w:t>
      </w:r>
    </w:p>
    <w:p w14:paraId="584307BF">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区人力资源和社会保障局会同区财政局、区自然资源和规划局、区农业农村局根据本通知精神制定具体实施细则，并根据职责负责解释。</w:t>
      </w:r>
    </w:p>
    <w:p w14:paraId="7F0006E7">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p>
    <w:p w14:paraId="7C547EAC">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p>
    <w:p w14:paraId="601053A7">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附件：屯溪区被征地社会保障费用筹集标准、被征地保障</w:t>
      </w:r>
    </w:p>
    <w:p w14:paraId="2C21B055">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对象享受缴费补贴标准</w:t>
      </w:r>
    </w:p>
    <w:p w14:paraId="3DF14846">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p>
    <w:p w14:paraId="06A39E6C">
      <w:pPr>
        <w:keepNext w:val="0"/>
        <w:keepLines w:val="0"/>
        <w:pageBreakBefore w:val="0"/>
        <w:widowControl/>
        <w:suppressLineNumbers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kern w:val="0"/>
          <w:sz w:val="32"/>
          <w:szCs w:val="32"/>
          <w:lang w:val="en-US" w:eastAsia="zh-CN" w:bidi="ar"/>
        </w:rPr>
      </w:pPr>
    </w:p>
    <w:p w14:paraId="2BE786E5">
      <w:pPr>
        <w:keepNext w:val="0"/>
        <w:keepLines w:val="0"/>
        <w:pageBreakBefore w:val="0"/>
        <w:widowControl/>
        <w:suppressLineNumbers w:val="0"/>
        <w:suppressAutoHyphens/>
        <w:kinsoku/>
        <w:wordWrap w:val="0"/>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屯溪区人民政府</w:t>
      </w:r>
    </w:p>
    <w:p w14:paraId="5B0302AC">
      <w:pPr>
        <w:keepNext w:val="0"/>
        <w:keepLines w:val="0"/>
        <w:pageBreakBefore w:val="0"/>
        <w:widowControl w:val="0"/>
        <w:suppressAutoHyphens/>
        <w:kinsoku/>
        <w:wordWrap/>
        <w:overflowPunct/>
        <w:topLinePunct w:val="0"/>
        <w:autoSpaceDE/>
        <w:autoSpaceDN/>
        <w:bidi/>
        <w:adjustRightInd/>
        <w:snapToGrid/>
        <w:spacing w:line="590" w:lineRule="exact"/>
        <w:ind w:firstLine="0" w:firstLineChars="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2024年3月15日 </w:t>
      </w:r>
    </w:p>
    <w:p w14:paraId="6A4778E2">
      <w:pPr>
        <w:keepNext w:val="0"/>
        <w:keepLines w:val="0"/>
        <w:pageBreakBefore w:val="0"/>
        <w:widowControl w:val="0"/>
        <w:suppressAutoHyphens/>
        <w:kinsoku/>
        <w:overflowPunct/>
        <w:topLinePunct w:val="0"/>
        <w:autoSpaceDE/>
        <w:autoSpaceDN/>
        <w:bidi w:val="0"/>
        <w:adjustRightInd/>
        <w:snapToGrid/>
        <w:spacing w:before="0" w:after="0" w:afterLines="0" w:line="590" w:lineRule="exact"/>
        <w:ind w:left="0" w:leftChars="0" w:firstLine="0" w:firstLineChars="0"/>
        <w:jc w:val="both"/>
        <w:textAlignment w:val="auto"/>
        <w:rPr>
          <w:rFonts w:hint="eastAsia" w:ascii="仿宋" w:hAnsi="仿宋" w:eastAsia="仿宋" w:cs="仿宋"/>
          <w:color w:val="auto"/>
          <w:kern w:val="2"/>
          <w:sz w:val="32"/>
          <w:szCs w:val="30"/>
          <w:lang w:val="en-US" w:eastAsia="en-US" w:bidi="ar-SA"/>
        </w:rPr>
      </w:pPr>
    </w:p>
    <w:p w14:paraId="35F78B4E">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616B3853">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7FAB6ECD">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2BF562F6">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6904FE4E">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64E704E1">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2632DB95">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2CFE4D5B">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09FEB71E">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4A450420">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165E62ED">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1948A623">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54B5410E">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626CAF6E">
      <w:pPr>
        <w:keepNext w:val="0"/>
        <w:keepLines w:val="0"/>
        <w:pageBreakBefore w:val="0"/>
        <w:suppressAutoHyphens/>
        <w:kinsoku/>
        <w:wordWrap/>
        <w:overflowPunct/>
        <w:topLinePunct w:val="0"/>
        <w:autoSpaceDE/>
        <w:autoSpaceDN/>
        <w:bidi w:val="0"/>
        <w:adjustRightInd/>
        <w:snapToGrid/>
        <w:spacing w:line="590" w:lineRule="exact"/>
        <w:textAlignment w:val="auto"/>
        <w:rPr>
          <w:rFonts w:hint="eastAsia" w:eastAsia="宋体" w:cs="Times New Roman"/>
          <w:sz w:val="28"/>
          <w:szCs w:val="28"/>
        </w:rPr>
      </w:pPr>
    </w:p>
    <w:p w14:paraId="5AFC008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tbl>
      <w:tblPr>
        <w:tblStyle w:val="18"/>
        <w:tblW w:w="0" w:type="auto"/>
        <w:tblInd w:w="0" w:type="dxa"/>
        <w:tblLayout w:type="fixed"/>
        <w:tblCellMar>
          <w:top w:w="0" w:type="dxa"/>
          <w:left w:w="108" w:type="dxa"/>
          <w:bottom w:w="0" w:type="dxa"/>
          <w:right w:w="108" w:type="dxa"/>
        </w:tblCellMar>
      </w:tblPr>
      <w:tblGrid>
        <w:gridCol w:w="1131"/>
        <w:gridCol w:w="3561"/>
        <w:gridCol w:w="1593"/>
        <w:gridCol w:w="1747"/>
        <w:gridCol w:w="1170"/>
      </w:tblGrid>
      <w:tr w14:paraId="4EF2FD8B">
        <w:tblPrEx>
          <w:tblCellMar>
            <w:top w:w="0" w:type="dxa"/>
            <w:left w:w="108" w:type="dxa"/>
            <w:bottom w:w="0" w:type="dxa"/>
            <w:right w:w="108" w:type="dxa"/>
          </w:tblCellMar>
        </w:tblPrEx>
        <w:trPr>
          <w:trHeight w:val="1263" w:hRule="atLeast"/>
        </w:trPr>
        <w:tc>
          <w:tcPr>
            <w:tcW w:w="9202" w:type="dxa"/>
            <w:gridSpan w:val="5"/>
            <w:tcBorders>
              <w:top w:val="nil"/>
              <w:left w:val="nil"/>
              <w:bottom w:val="nil"/>
              <w:right w:val="nil"/>
            </w:tcBorders>
            <w:noWrap w:val="0"/>
            <w:vAlign w:val="center"/>
          </w:tcPr>
          <w:p w14:paraId="30263992">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屯溪区被征地社会保障费用筹集标准、被征地保障对象</w:t>
            </w:r>
          </w:p>
          <w:p w14:paraId="69ECE448">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方正小标宋_GBK" w:hAnsi="宋体" w:eastAsia="方正小标宋_GBK" w:cs="宋体"/>
                <w:b/>
                <w:color w:val="000000"/>
                <w:kern w:val="0"/>
                <w:sz w:val="30"/>
                <w:szCs w:val="30"/>
              </w:rPr>
            </w:pPr>
            <w:r>
              <w:rPr>
                <w:rFonts w:hint="eastAsia" w:ascii="仿宋_GB2312" w:hAnsi="宋体" w:eastAsia="仿宋_GB2312" w:cs="宋体"/>
                <w:b/>
                <w:color w:val="000000"/>
                <w:kern w:val="0"/>
                <w:sz w:val="32"/>
                <w:szCs w:val="32"/>
              </w:rPr>
              <w:t>享受缴费补贴标准</w:t>
            </w:r>
          </w:p>
        </w:tc>
      </w:tr>
      <w:tr w14:paraId="495C0030">
        <w:tblPrEx>
          <w:tblCellMar>
            <w:top w:w="0" w:type="dxa"/>
            <w:left w:w="108" w:type="dxa"/>
            <w:bottom w:w="0" w:type="dxa"/>
            <w:right w:w="108" w:type="dxa"/>
          </w:tblCellMar>
        </w:tblPrEx>
        <w:trPr>
          <w:trHeight w:val="710" w:hRule="atLeast"/>
        </w:trPr>
        <w:tc>
          <w:tcPr>
            <w:tcW w:w="113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F4B65">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hint="eastAsia" w:ascii="宋体" w:hAnsi="宋体" w:eastAsia="宋体" w:cs="宋体"/>
                <w:b/>
                <w:bCs/>
                <w:color w:val="333333"/>
                <w:kern w:val="0"/>
                <w:sz w:val="24"/>
              </w:rPr>
            </w:pPr>
            <w:r>
              <w:rPr>
                <w:rFonts w:hint="eastAsia" w:ascii="宋体" w:hAnsi="宋体" w:eastAsia="宋体" w:cs="宋体"/>
                <w:b/>
                <w:bCs/>
                <w:color w:val="333333"/>
                <w:kern w:val="0"/>
                <w:sz w:val="24"/>
              </w:rPr>
              <w:t>区片</w:t>
            </w:r>
          </w:p>
          <w:p w14:paraId="4CEF9095">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color w:val="333333"/>
                <w:kern w:val="0"/>
                <w:sz w:val="24"/>
              </w:rPr>
            </w:pPr>
            <w:r>
              <w:rPr>
                <w:rFonts w:hint="eastAsia" w:ascii="宋体" w:hAnsi="宋体" w:eastAsia="宋体" w:cs="宋体"/>
                <w:b/>
                <w:bCs/>
                <w:color w:val="333333"/>
                <w:kern w:val="0"/>
                <w:sz w:val="24"/>
              </w:rPr>
              <w:t>编号</w:t>
            </w:r>
          </w:p>
        </w:tc>
        <w:tc>
          <w:tcPr>
            <w:tcW w:w="356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B46159">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color w:val="333333"/>
                <w:kern w:val="0"/>
                <w:sz w:val="24"/>
              </w:rPr>
            </w:pPr>
            <w:r>
              <w:rPr>
                <w:rFonts w:hint="eastAsia" w:ascii="宋体" w:hAnsi="宋体" w:eastAsia="宋体" w:cs="宋体"/>
                <w:b/>
                <w:bCs/>
                <w:color w:val="333333"/>
                <w:kern w:val="0"/>
                <w:sz w:val="24"/>
              </w:rPr>
              <w:t>区片范围</w:t>
            </w:r>
          </w:p>
        </w:tc>
        <w:tc>
          <w:tcPr>
            <w:tcW w:w="3340" w:type="dxa"/>
            <w:gridSpan w:val="2"/>
            <w:tcBorders>
              <w:top w:val="single" w:color="auto" w:sz="4" w:space="0"/>
              <w:left w:val="nil"/>
              <w:bottom w:val="single" w:color="auto" w:sz="4" w:space="0"/>
              <w:right w:val="single" w:color="auto" w:sz="4" w:space="0"/>
            </w:tcBorders>
            <w:shd w:val="clear" w:color="auto" w:fill="auto"/>
            <w:noWrap w:val="0"/>
            <w:vAlign w:val="center"/>
          </w:tcPr>
          <w:p w14:paraId="0BC175C8">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hint="eastAsia" w:ascii="宋体" w:hAnsi="宋体" w:eastAsia="宋体" w:cs="宋体"/>
                <w:b/>
                <w:bCs/>
                <w:kern w:val="0"/>
                <w:sz w:val="24"/>
              </w:rPr>
            </w:pPr>
            <w:r>
              <w:rPr>
                <w:rFonts w:hint="eastAsia" w:ascii="宋体" w:hAnsi="宋体" w:eastAsia="宋体" w:cs="宋体"/>
                <w:b/>
                <w:bCs/>
                <w:kern w:val="0"/>
                <w:sz w:val="24"/>
              </w:rPr>
              <w:t>被征地社会保障费用</w:t>
            </w:r>
          </w:p>
          <w:p w14:paraId="63A772C3">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kern w:val="0"/>
                <w:sz w:val="24"/>
              </w:rPr>
            </w:pPr>
            <w:r>
              <w:rPr>
                <w:rFonts w:hint="eastAsia" w:ascii="宋体" w:hAnsi="宋体" w:eastAsia="宋体" w:cs="宋体"/>
                <w:b/>
                <w:bCs/>
                <w:kern w:val="0"/>
                <w:sz w:val="24"/>
              </w:rPr>
              <w:t>筹集标准</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59185">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hint="eastAsia" w:ascii="宋体" w:hAnsi="宋体" w:eastAsia="宋体" w:cs="宋体"/>
                <w:b/>
                <w:bCs/>
                <w:color w:val="333333"/>
                <w:kern w:val="0"/>
                <w:sz w:val="24"/>
              </w:rPr>
            </w:pPr>
            <w:r>
              <w:rPr>
                <w:rFonts w:hint="eastAsia" w:ascii="宋体" w:hAnsi="宋体" w:eastAsia="宋体" w:cs="宋体"/>
                <w:b/>
                <w:bCs/>
                <w:color w:val="333333"/>
                <w:kern w:val="0"/>
                <w:sz w:val="24"/>
              </w:rPr>
              <w:t>被征地保障对象享受缴费补贴标准</w:t>
            </w:r>
          </w:p>
          <w:p w14:paraId="14FFA23B">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color w:val="333333"/>
                <w:kern w:val="0"/>
                <w:sz w:val="24"/>
              </w:rPr>
            </w:pPr>
            <w:r>
              <w:rPr>
                <w:rFonts w:hint="eastAsia" w:ascii="宋体" w:hAnsi="宋体" w:eastAsia="宋体" w:cs="宋体"/>
                <w:b/>
                <w:bCs/>
                <w:color w:val="333333"/>
                <w:kern w:val="0"/>
                <w:sz w:val="24"/>
              </w:rPr>
              <w:t>（元/人）</w:t>
            </w:r>
          </w:p>
        </w:tc>
      </w:tr>
      <w:tr w14:paraId="4DC7E9E0">
        <w:tblPrEx>
          <w:tblCellMar>
            <w:top w:w="0" w:type="dxa"/>
            <w:left w:w="108" w:type="dxa"/>
            <w:bottom w:w="0" w:type="dxa"/>
            <w:right w:w="108" w:type="dxa"/>
          </w:tblCellMar>
        </w:tblPrEx>
        <w:trPr>
          <w:trHeight w:val="2047" w:hRule="atLeast"/>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73C9E62B">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b/>
                <w:bCs/>
                <w:color w:val="333333"/>
                <w:kern w:val="0"/>
                <w:sz w:val="24"/>
              </w:rPr>
            </w:pPr>
          </w:p>
        </w:tc>
        <w:tc>
          <w:tcPr>
            <w:tcW w:w="3561" w:type="dxa"/>
            <w:vMerge w:val="continue"/>
            <w:tcBorders>
              <w:top w:val="single" w:color="auto" w:sz="4" w:space="0"/>
              <w:left w:val="single" w:color="auto" w:sz="4" w:space="0"/>
              <w:bottom w:val="single" w:color="auto" w:sz="4" w:space="0"/>
              <w:right w:val="single" w:color="auto" w:sz="4" w:space="0"/>
            </w:tcBorders>
            <w:noWrap w:val="0"/>
            <w:vAlign w:val="center"/>
          </w:tcPr>
          <w:p w14:paraId="5BBD6CA5">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b/>
                <w:bCs/>
                <w:color w:val="333333"/>
                <w:kern w:val="0"/>
                <w:sz w:val="24"/>
              </w:rPr>
            </w:pPr>
          </w:p>
        </w:tc>
        <w:tc>
          <w:tcPr>
            <w:tcW w:w="1593" w:type="dxa"/>
            <w:tcBorders>
              <w:top w:val="nil"/>
              <w:left w:val="nil"/>
              <w:bottom w:val="single" w:color="auto" w:sz="4" w:space="0"/>
              <w:right w:val="single" w:color="auto" w:sz="4" w:space="0"/>
            </w:tcBorders>
            <w:noWrap w:val="0"/>
            <w:vAlign w:val="center"/>
          </w:tcPr>
          <w:p w14:paraId="6239F759">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按征地区片综合地价</w:t>
            </w:r>
          </w:p>
          <w:p w14:paraId="4B084BCD">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筹集</w:t>
            </w:r>
          </w:p>
          <w:p w14:paraId="2FA504DD">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color w:val="000000"/>
                <w:kern w:val="0"/>
                <w:sz w:val="24"/>
              </w:rPr>
            </w:pPr>
            <w:r>
              <w:rPr>
                <w:rFonts w:hint="eastAsia" w:ascii="宋体" w:hAnsi="宋体" w:eastAsia="宋体" w:cs="宋体"/>
                <w:b/>
                <w:bCs/>
                <w:color w:val="000000"/>
                <w:kern w:val="0"/>
                <w:sz w:val="24"/>
              </w:rPr>
              <w:t>（元/亩）</w:t>
            </w:r>
          </w:p>
        </w:tc>
        <w:tc>
          <w:tcPr>
            <w:tcW w:w="1747" w:type="dxa"/>
            <w:tcBorders>
              <w:top w:val="nil"/>
              <w:left w:val="nil"/>
              <w:bottom w:val="single" w:color="auto" w:sz="4" w:space="0"/>
              <w:right w:val="single" w:color="auto" w:sz="4" w:space="0"/>
            </w:tcBorders>
            <w:noWrap w:val="0"/>
            <w:vAlign w:val="center"/>
          </w:tcPr>
          <w:p w14:paraId="4F4123D3">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kern w:val="0"/>
                <w:sz w:val="24"/>
              </w:rPr>
            </w:pPr>
            <w:r>
              <w:rPr>
                <w:rFonts w:hint="eastAsia" w:ascii="宋体" w:hAnsi="宋体" w:eastAsia="宋体" w:cs="宋体"/>
                <w:b/>
                <w:bCs/>
                <w:kern w:val="0"/>
                <w:sz w:val="24"/>
              </w:rPr>
              <w:t>一事一议</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8EA312D">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b/>
                <w:bCs/>
                <w:color w:val="333333"/>
                <w:kern w:val="0"/>
                <w:sz w:val="24"/>
              </w:rPr>
            </w:pPr>
          </w:p>
        </w:tc>
      </w:tr>
      <w:tr w14:paraId="469A499D">
        <w:tblPrEx>
          <w:tblCellMar>
            <w:top w:w="0" w:type="dxa"/>
            <w:left w:w="108" w:type="dxa"/>
            <w:bottom w:w="0" w:type="dxa"/>
            <w:right w:w="108" w:type="dxa"/>
          </w:tblCellMar>
        </w:tblPrEx>
        <w:trPr>
          <w:trHeight w:val="916" w:hRule="atLeast"/>
        </w:trPr>
        <w:tc>
          <w:tcPr>
            <w:tcW w:w="1131" w:type="dxa"/>
            <w:tcBorders>
              <w:top w:val="nil"/>
              <w:left w:val="single" w:color="auto" w:sz="4" w:space="0"/>
              <w:bottom w:val="single" w:color="auto" w:sz="4" w:space="0"/>
              <w:right w:val="single" w:color="auto" w:sz="4" w:space="0"/>
            </w:tcBorders>
            <w:noWrap w:val="0"/>
            <w:vAlign w:val="center"/>
          </w:tcPr>
          <w:p w14:paraId="4A951021">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I</w:t>
            </w:r>
          </w:p>
        </w:tc>
        <w:tc>
          <w:tcPr>
            <w:tcW w:w="3561" w:type="dxa"/>
            <w:tcBorders>
              <w:top w:val="nil"/>
              <w:left w:val="nil"/>
              <w:bottom w:val="single" w:color="auto" w:sz="4" w:space="0"/>
              <w:right w:val="single" w:color="auto" w:sz="4" w:space="0"/>
            </w:tcBorders>
            <w:noWrap w:val="0"/>
            <w:vAlign w:val="center"/>
          </w:tcPr>
          <w:p w14:paraId="5238C64E">
            <w:pPr>
              <w:keepNext w:val="0"/>
              <w:keepLines w:val="0"/>
              <w:pageBreakBefore w:val="0"/>
              <w:widowControl/>
              <w:suppressAutoHyphens/>
              <w:kinsoku/>
              <w:wordWrap/>
              <w:overflowPunct/>
              <w:topLinePunct w:val="0"/>
              <w:autoSpaceDE/>
              <w:autoSpaceDN/>
              <w:bidi w:val="0"/>
              <w:adjustRightInd/>
              <w:snapToGrid/>
              <w:spacing w:line="590" w:lineRule="exact"/>
              <w:textAlignment w:val="auto"/>
              <w:rPr>
                <w:rFonts w:ascii="宋体" w:hAnsi="宋体" w:eastAsia="宋体" w:cs="宋体"/>
                <w:kern w:val="0"/>
                <w:sz w:val="24"/>
              </w:rPr>
            </w:pPr>
            <w:r>
              <w:rPr>
                <w:rFonts w:hint="eastAsia" w:ascii="宋体" w:hAnsi="宋体" w:eastAsia="宋体" w:cs="宋体"/>
                <w:kern w:val="0"/>
                <w:sz w:val="24"/>
              </w:rPr>
              <w:t>老街街道，昱中街道，昱西街道，昱东街道，屯光镇（屯光林场、湖边社区、社屋前社区、云村村）</w:t>
            </w:r>
          </w:p>
        </w:tc>
        <w:tc>
          <w:tcPr>
            <w:tcW w:w="1593" w:type="dxa"/>
            <w:tcBorders>
              <w:top w:val="nil"/>
              <w:left w:val="nil"/>
              <w:bottom w:val="single" w:color="auto" w:sz="4" w:space="0"/>
              <w:right w:val="single" w:color="auto" w:sz="4" w:space="0"/>
            </w:tcBorders>
            <w:noWrap w:val="0"/>
            <w:vAlign w:val="center"/>
          </w:tcPr>
          <w:p w14:paraId="461305B2">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 xml:space="preserve">61600 </w:t>
            </w:r>
          </w:p>
        </w:tc>
        <w:tc>
          <w:tcPr>
            <w:tcW w:w="1747" w:type="dxa"/>
            <w:vMerge w:val="restart"/>
            <w:tcBorders>
              <w:top w:val="nil"/>
              <w:left w:val="single" w:color="auto" w:sz="4" w:space="0"/>
              <w:bottom w:val="single" w:color="auto" w:sz="4" w:space="0"/>
              <w:right w:val="single" w:color="auto" w:sz="4" w:space="0"/>
            </w:tcBorders>
            <w:noWrap w:val="0"/>
            <w:vAlign w:val="center"/>
          </w:tcPr>
          <w:p w14:paraId="04432F36">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当期批次筹集资金不足以保障当期批次保障人数所需资金总额时，按缴费补贴标准×保障人数筹集</w:t>
            </w:r>
          </w:p>
        </w:tc>
        <w:tc>
          <w:tcPr>
            <w:tcW w:w="1170" w:type="dxa"/>
            <w:vMerge w:val="restart"/>
            <w:tcBorders>
              <w:top w:val="nil"/>
              <w:left w:val="single" w:color="auto" w:sz="4" w:space="0"/>
              <w:bottom w:val="single" w:color="000000" w:sz="4" w:space="0"/>
              <w:right w:val="single" w:color="auto" w:sz="4" w:space="0"/>
            </w:tcBorders>
            <w:noWrap w:val="0"/>
            <w:vAlign w:val="center"/>
          </w:tcPr>
          <w:p w14:paraId="1C24278A">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b/>
                <w:bCs/>
                <w:kern w:val="0"/>
                <w:sz w:val="24"/>
              </w:rPr>
            </w:pPr>
            <w:r>
              <w:rPr>
                <w:rFonts w:hint="eastAsia" w:ascii="宋体" w:hAnsi="宋体" w:eastAsia="宋体" w:cs="宋体"/>
                <w:b/>
                <w:bCs/>
                <w:kern w:val="0"/>
                <w:sz w:val="24"/>
              </w:rPr>
              <w:t>58725</w:t>
            </w:r>
          </w:p>
        </w:tc>
      </w:tr>
      <w:tr w14:paraId="2A253D7C">
        <w:tblPrEx>
          <w:tblCellMar>
            <w:top w:w="0" w:type="dxa"/>
            <w:left w:w="108" w:type="dxa"/>
            <w:bottom w:w="0" w:type="dxa"/>
            <w:right w:w="108" w:type="dxa"/>
          </w:tblCellMar>
        </w:tblPrEx>
        <w:trPr>
          <w:trHeight w:val="1080" w:hRule="atLeast"/>
        </w:trPr>
        <w:tc>
          <w:tcPr>
            <w:tcW w:w="1131" w:type="dxa"/>
            <w:tcBorders>
              <w:top w:val="nil"/>
              <w:left w:val="single" w:color="auto" w:sz="4" w:space="0"/>
              <w:bottom w:val="single" w:color="auto" w:sz="4" w:space="0"/>
              <w:right w:val="single" w:color="auto" w:sz="4" w:space="0"/>
            </w:tcBorders>
            <w:noWrap w:val="0"/>
            <w:vAlign w:val="center"/>
          </w:tcPr>
          <w:p w14:paraId="772296E2">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Ⅱ</w:t>
            </w:r>
          </w:p>
        </w:tc>
        <w:tc>
          <w:tcPr>
            <w:tcW w:w="3561" w:type="dxa"/>
            <w:tcBorders>
              <w:top w:val="nil"/>
              <w:left w:val="nil"/>
              <w:bottom w:val="single" w:color="auto" w:sz="4" w:space="0"/>
              <w:right w:val="single" w:color="auto" w:sz="4" w:space="0"/>
            </w:tcBorders>
            <w:noWrap w:val="0"/>
            <w:vAlign w:val="center"/>
          </w:tcPr>
          <w:p w14:paraId="5856A66E">
            <w:pPr>
              <w:keepNext w:val="0"/>
              <w:keepLines w:val="0"/>
              <w:pageBreakBefore w:val="0"/>
              <w:widowControl/>
              <w:suppressAutoHyphens/>
              <w:kinsoku/>
              <w:wordWrap/>
              <w:overflowPunct/>
              <w:topLinePunct w:val="0"/>
              <w:autoSpaceDE/>
              <w:autoSpaceDN/>
              <w:bidi w:val="0"/>
              <w:adjustRightInd/>
              <w:snapToGrid/>
              <w:spacing w:line="590" w:lineRule="exact"/>
              <w:textAlignment w:val="auto"/>
              <w:rPr>
                <w:rFonts w:ascii="宋体" w:hAnsi="宋体" w:eastAsia="宋体" w:cs="宋体"/>
                <w:kern w:val="0"/>
                <w:sz w:val="24"/>
              </w:rPr>
            </w:pPr>
            <w:r>
              <w:rPr>
                <w:rFonts w:hint="eastAsia" w:ascii="宋体" w:hAnsi="宋体" w:eastAsia="宋体" w:cs="宋体"/>
                <w:kern w:val="0"/>
                <w:sz w:val="24"/>
              </w:rPr>
              <w:t>屯光镇（草市社区、浯村村、留村村、汉沙村、南溪南村、富礼村、尤溪社区、篁墩村），新潭镇（新潭村、华资社区）</w:t>
            </w:r>
          </w:p>
        </w:tc>
        <w:tc>
          <w:tcPr>
            <w:tcW w:w="1593" w:type="dxa"/>
            <w:tcBorders>
              <w:top w:val="nil"/>
              <w:left w:val="nil"/>
              <w:bottom w:val="single" w:color="auto" w:sz="4" w:space="0"/>
              <w:right w:val="single" w:color="auto" w:sz="4" w:space="0"/>
            </w:tcBorders>
            <w:noWrap w:val="0"/>
            <w:vAlign w:val="center"/>
          </w:tcPr>
          <w:p w14:paraId="2C6B6319">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60800</w:t>
            </w:r>
          </w:p>
        </w:tc>
        <w:tc>
          <w:tcPr>
            <w:tcW w:w="1747" w:type="dxa"/>
            <w:vMerge w:val="continue"/>
            <w:tcBorders>
              <w:top w:val="nil"/>
              <w:left w:val="single" w:color="auto" w:sz="4" w:space="0"/>
              <w:bottom w:val="single" w:color="auto" w:sz="4" w:space="0"/>
              <w:right w:val="single" w:color="auto" w:sz="4" w:space="0"/>
            </w:tcBorders>
            <w:noWrap w:val="0"/>
            <w:vAlign w:val="center"/>
          </w:tcPr>
          <w:p w14:paraId="6981DBA7">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kern w:val="0"/>
                <w:sz w:val="24"/>
              </w:rPr>
            </w:pPr>
          </w:p>
        </w:tc>
        <w:tc>
          <w:tcPr>
            <w:tcW w:w="1170" w:type="dxa"/>
            <w:vMerge w:val="continue"/>
            <w:tcBorders>
              <w:top w:val="nil"/>
              <w:left w:val="single" w:color="auto" w:sz="4" w:space="0"/>
              <w:bottom w:val="single" w:color="000000" w:sz="4" w:space="0"/>
              <w:right w:val="single" w:color="auto" w:sz="4" w:space="0"/>
            </w:tcBorders>
            <w:noWrap w:val="0"/>
            <w:vAlign w:val="center"/>
          </w:tcPr>
          <w:p w14:paraId="5642CB8B">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b/>
                <w:bCs/>
                <w:kern w:val="0"/>
                <w:sz w:val="24"/>
              </w:rPr>
            </w:pPr>
          </w:p>
        </w:tc>
      </w:tr>
      <w:tr w14:paraId="508FDCFE">
        <w:tblPrEx>
          <w:tblCellMar>
            <w:top w:w="0" w:type="dxa"/>
            <w:left w:w="108" w:type="dxa"/>
            <w:bottom w:w="0" w:type="dxa"/>
            <w:right w:w="108" w:type="dxa"/>
          </w:tblCellMar>
        </w:tblPrEx>
        <w:trPr>
          <w:trHeight w:val="2044" w:hRule="atLeast"/>
        </w:trPr>
        <w:tc>
          <w:tcPr>
            <w:tcW w:w="1131" w:type="dxa"/>
            <w:tcBorders>
              <w:top w:val="nil"/>
              <w:left w:val="single" w:color="auto" w:sz="4" w:space="0"/>
              <w:bottom w:val="single" w:color="auto" w:sz="4" w:space="0"/>
              <w:right w:val="single" w:color="auto" w:sz="4" w:space="0"/>
            </w:tcBorders>
            <w:noWrap w:val="0"/>
            <w:vAlign w:val="center"/>
          </w:tcPr>
          <w:p w14:paraId="7B18D561">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Ⅲ</w:t>
            </w:r>
          </w:p>
        </w:tc>
        <w:tc>
          <w:tcPr>
            <w:tcW w:w="3561" w:type="dxa"/>
            <w:tcBorders>
              <w:top w:val="nil"/>
              <w:left w:val="nil"/>
              <w:bottom w:val="single" w:color="auto" w:sz="4" w:space="0"/>
              <w:right w:val="single" w:color="auto" w:sz="4" w:space="0"/>
            </w:tcBorders>
            <w:noWrap w:val="0"/>
            <w:vAlign w:val="center"/>
          </w:tcPr>
          <w:p w14:paraId="07FCF979">
            <w:pPr>
              <w:keepNext w:val="0"/>
              <w:keepLines w:val="0"/>
              <w:pageBreakBefore w:val="0"/>
              <w:widowControl/>
              <w:suppressAutoHyphens/>
              <w:kinsoku/>
              <w:wordWrap/>
              <w:overflowPunct/>
              <w:topLinePunct w:val="0"/>
              <w:autoSpaceDE/>
              <w:autoSpaceDN/>
              <w:bidi w:val="0"/>
              <w:adjustRightInd/>
              <w:snapToGrid/>
              <w:spacing w:line="590" w:lineRule="exact"/>
              <w:textAlignment w:val="auto"/>
              <w:rPr>
                <w:rFonts w:ascii="宋体" w:hAnsi="宋体" w:eastAsia="宋体" w:cs="宋体"/>
                <w:kern w:val="0"/>
                <w:sz w:val="24"/>
              </w:rPr>
            </w:pPr>
            <w:r>
              <w:rPr>
                <w:rFonts w:hint="eastAsia" w:ascii="宋体" w:hAnsi="宋体" w:eastAsia="宋体" w:cs="宋体"/>
                <w:kern w:val="0"/>
                <w:sz w:val="24"/>
              </w:rPr>
              <w:t>新潭镇（上资村、东关村、汗山桥村、仙林村、梅林村，竹林村、引充社区），阳湖镇（阳湖社区、洽阳社区、兖山社区），奕棋镇（徐村村、奕棋村），黎阳镇（隆阜一村、隆阜二村、隆阜三社区、隆阜四社区、隆阜茶林场、龙山社区）</w:t>
            </w:r>
          </w:p>
        </w:tc>
        <w:tc>
          <w:tcPr>
            <w:tcW w:w="1593" w:type="dxa"/>
            <w:tcBorders>
              <w:top w:val="nil"/>
              <w:left w:val="nil"/>
              <w:bottom w:val="single" w:color="auto" w:sz="4" w:space="0"/>
              <w:right w:val="single" w:color="auto" w:sz="4" w:space="0"/>
            </w:tcBorders>
            <w:noWrap w:val="0"/>
            <w:vAlign w:val="center"/>
          </w:tcPr>
          <w:p w14:paraId="3DF92579">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 xml:space="preserve">57500 </w:t>
            </w:r>
          </w:p>
        </w:tc>
        <w:tc>
          <w:tcPr>
            <w:tcW w:w="1747" w:type="dxa"/>
            <w:vMerge w:val="continue"/>
            <w:tcBorders>
              <w:top w:val="nil"/>
              <w:left w:val="single" w:color="auto" w:sz="4" w:space="0"/>
              <w:bottom w:val="single" w:color="auto" w:sz="4" w:space="0"/>
              <w:right w:val="single" w:color="auto" w:sz="4" w:space="0"/>
            </w:tcBorders>
            <w:noWrap w:val="0"/>
            <w:vAlign w:val="center"/>
          </w:tcPr>
          <w:p w14:paraId="65FF9219">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kern w:val="0"/>
                <w:sz w:val="24"/>
              </w:rPr>
            </w:pPr>
          </w:p>
        </w:tc>
        <w:tc>
          <w:tcPr>
            <w:tcW w:w="1170" w:type="dxa"/>
            <w:vMerge w:val="continue"/>
            <w:tcBorders>
              <w:top w:val="nil"/>
              <w:left w:val="single" w:color="auto" w:sz="4" w:space="0"/>
              <w:bottom w:val="single" w:color="000000" w:sz="4" w:space="0"/>
              <w:right w:val="single" w:color="auto" w:sz="4" w:space="0"/>
            </w:tcBorders>
            <w:noWrap w:val="0"/>
            <w:vAlign w:val="center"/>
          </w:tcPr>
          <w:p w14:paraId="59BB664F">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b/>
                <w:bCs/>
                <w:kern w:val="0"/>
                <w:sz w:val="24"/>
              </w:rPr>
            </w:pPr>
          </w:p>
        </w:tc>
      </w:tr>
      <w:tr w14:paraId="0091A8F6">
        <w:tblPrEx>
          <w:tblCellMar>
            <w:top w:w="0" w:type="dxa"/>
            <w:left w:w="108" w:type="dxa"/>
            <w:bottom w:w="0" w:type="dxa"/>
            <w:right w:w="108" w:type="dxa"/>
          </w:tblCellMar>
        </w:tblPrEx>
        <w:trPr>
          <w:trHeight w:val="3154" w:hRule="atLeast"/>
        </w:trPr>
        <w:tc>
          <w:tcPr>
            <w:tcW w:w="1131" w:type="dxa"/>
            <w:tcBorders>
              <w:top w:val="nil"/>
              <w:left w:val="single" w:color="auto" w:sz="4" w:space="0"/>
              <w:bottom w:val="single" w:color="auto" w:sz="4" w:space="0"/>
              <w:right w:val="single" w:color="auto" w:sz="4" w:space="0"/>
            </w:tcBorders>
            <w:noWrap w:val="0"/>
            <w:vAlign w:val="center"/>
          </w:tcPr>
          <w:p w14:paraId="1BF5843F">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Ⅳ</w:t>
            </w:r>
          </w:p>
        </w:tc>
        <w:tc>
          <w:tcPr>
            <w:tcW w:w="3561" w:type="dxa"/>
            <w:tcBorders>
              <w:top w:val="nil"/>
              <w:left w:val="nil"/>
              <w:bottom w:val="single" w:color="auto" w:sz="4" w:space="0"/>
              <w:right w:val="single" w:color="auto" w:sz="4" w:space="0"/>
            </w:tcBorders>
            <w:noWrap w:val="0"/>
            <w:vAlign w:val="center"/>
          </w:tcPr>
          <w:p w14:paraId="3CC5CA53">
            <w:pPr>
              <w:keepNext w:val="0"/>
              <w:keepLines w:val="0"/>
              <w:pageBreakBefore w:val="0"/>
              <w:widowControl/>
              <w:suppressAutoHyphens/>
              <w:kinsoku/>
              <w:wordWrap/>
              <w:overflowPunct/>
              <w:topLinePunct w:val="0"/>
              <w:autoSpaceDE/>
              <w:autoSpaceDN/>
              <w:bidi w:val="0"/>
              <w:adjustRightInd/>
              <w:snapToGrid/>
              <w:spacing w:line="590" w:lineRule="exact"/>
              <w:textAlignment w:val="auto"/>
              <w:rPr>
                <w:rFonts w:ascii="宋体" w:hAnsi="宋体" w:eastAsia="宋体" w:cs="宋体"/>
                <w:kern w:val="0"/>
                <w:sz w:val="24"/>
              </w:rPr>
            </w:pPr>
            <w:r>
              <w:rPr>
                <w:rFonts w:hint="eastAsia" w:ascii="宋体" w:hAnsi="宋体" w:eastAsia="宋体" w:cs="宋体"/>
                <w:kern w:val="0"/>
                <w:sz w:val="24"/>
              </w:rPr>
              <w:t>新潭镇（蕉充村、霞高村、陈坑村、瓯山村、长林村、长源村、仙和村），黎阳镇（凤霞村、三门呈村、高枧村、闵口村、新江村、傍霞村），奕棋镇（江村村、查塘村、瑶干村、博村村、占川村、林塘村、朱村村），阳湖镇（三充村、紫阜村、兖溪村、稽灵山社区、柏山社区、黄口社区）</w:t>
            </w:r>
          </w:p>
        </w:tc>
        <w:tc>
          <w:tcPr>
            <w:tcW w:w="1593" w:type="dxa"/>
            <w:tcBorders>
              <w:top w:val="nil"/>
              <w:left w:val="nil"/>
              <w:bottom w:val="single" w:color="auto" w:sz="4" w:space="0"/>
              <w:right w:val="single" w:color="auto" w:sz="4" w:space="0"/>
            </w:tcBorders>
            <w:noWrap w:val="0"/>
            <w:vAlign w:val="center"/>
          </w:tcPr>
          <w:p w14:paraId="62DABBD9">
            <w:pPr>
              <w:keepNext w:val="0"/>
              <w:keepLines w:val="0"/>
              <w:pageBreakBefore w:val="0"/>
              <w:widowControl/>
              <w:suppressAutoHyphens/>
              <w:kinsoku/>
              <w:wordWrap/>
              <w:overflowPunct/>
              <w:topLinePunct w:val="0"/>
              <w:autoSpaceDE/>
              <w:autoSpaceDN/>
              <w:bidi w:val="0"/>
              <w:adjustRightInd/>
              <w:snapToGrid/>
              <w:spacing w:line="590" w:lineRule="exact"/>
              <w:jc w:val="center"/>
              <w:textAlignment w:val="auto"/>
              <w:rPr>
                <w:rFonts w:ascii="宋体" w:hAnsi="宋体" w:eastAsia="宋体" w:cs="宋体"/>
                <w:kern w:val="0"/>
                <w:sz w:val="24"/>
              </w:rPr>
            </w:pPr>
            <w:r>
              <w:rPr>
                <w:rFonts w:hint="eastAsia" w:ascii="宋体" w:hAnsi="宋体" w:eastAsia="宋体" w:cs="宋体"/>
                <w:kern w:val="0"/>
                <w:sz w:val="24"/>
              </w:rPr>
              <w:t xml:space="preserve">55000 </w:t>
            </w:r>
          </w:p>
        </w:tc>
        <w:tc>
          <w:tcPr>
            <w:tcW w:w="1747" w:type="dxa"/>
            <w:vMerge w:val="continue"/>
            <w:tcBorders>
              <w:top w:val="nil"/>
              <w:left w:val="single" w:color="auto" w:sz="4" w:space="0"/>
              <w:bottom w:val="single" w:color="auto" w:sz="4" w:space="0"/>
              <w:right w:val="single" w:color="auto" w:sz="4" w:space="0"/>
            </w:tcBorders>
            <w:noWrap w:val="0"/>
            <w:vAlign w:val="center"/>
          </w:tcPr>
          <w:p w14:paraId="2351D4CF">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kern w:val="0"/>
                <w:sz w:val="24"/>
              </w:rPr>
            </w:pPr>
          </w:p>
        </w:tc>
        <w:tc>
          <w:tcPr>
            <w:tcW w:w="1170" w:type="dxa"/>
            <w:vMerge w:val="continue"/>
            <w:tcBorders>
              <w:top w:val="nil"/>
              <w:left w:val="single" w:color="auto" w:sz="4" w:space="0"/>
              <w:bottom w:val="single" w:color="000000" w:sz="4" w:space="0"/>
              <w:right w:val="single" w:color="auto" w:sz="4" w:space="0"/>
            </w:tcBorders>
            <w:noWrap w:val="0"/>
            <w:vAlign w:val="center"/>
          </w:tcPr>
          <w:p w14:paraId="1DCFE854">
            <w:pPr>
              <w:keepNext w:val="0"/>
              <w:keepLines w:val="0"/>
              <w:pageBreakBefore w:val="0"/>
              <w:widowControl/>
              <w:suppressAutoHyphens/>
              <w:kinsoku/>
              <w:wordWrap/>
              <w:overflowPunct/>
              <w:topLinePunct w:val="0"/>
              <w:autoSpaceDE/>
              <w:autoSpaceDN/>
              <w:bidi w:val="0"/>
              <w:adjustRightInd/>
              <w:snapToGrid/>
              <w:spacing w:line="590" w:lineRule="exact"/>
              <w:jc w:val="left"/>
              <w:textAlignment w:val="auto"/>
              <w:rPr>
                <w:rFonts w:ascii="宋体" w:hAnsi="宋体" w:eastAsia="宋体" w:cs="宋体"/>
                <w:b/>
                <w:bCs/>
                <w:kern w:val="0"/>
                <w:sz w:val="24"/>
              </w:rPr>
            </w:pPr>
          </w:p>
        </w:tc>
      </w:tr>
    </w:tbl>
    <w:p w14:paraId="1C8FF3E4">
      <w:pPr>
        <w:rPr>
          <w:rFonts w:hint="default"/>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24FA">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325B5">
                          <w:pPr>
                            <w:pStyle w:val="4"/>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01325B5">
                    <w:pPr>
                      <w:pStyle w:val="4"/>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4AA65E4">
    <w:pPr>
      <w:pStyle w:val="12"/>
      <w:tabs>
        <w:tab w:val="left" w:pos="5419"/>
      </w:tabs>
      <w:ind w:left="4788" w:leftChars="2280" w:firstLine="6400" w:firstLineChars="2000"/>
      <w:rPr>
        <w:rFonts w:hint="default" w:eastAsia="仿宋"/>
        <w:sz w:val="32"/>
        <w:szCs w:val="48"/>
        <w:lang w:val="en-US"/>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val="en-US" w:eastAsia="zh-CN"/>
      </w:rPr>
      <w:t xml:space="preserve">   </w:t>
    </w:r>
    <w:r>
      <w:rPr>
        <w:rFonts w:hint="eastAsia" w:eastAsia="仿宋"/>
        <w:sz w:val="32"/>
        <w:szCs w:val="48"/>
        <w:lang w:eastAsia="zh-CN"/>
      </w:rPr>
      <w:tab/>
    </w:r>
    <w:r>
      <w:rPr>
        <w:rFonts w:hint="eastAsia" w:ascii="宋体" w:hAnsi="宋体" w:cs="宋体"/>
        <w:b/>
        <w:bCs/>
        <w:color w:val="005192"/>
        <w:sz w:val="28"/>
        <w:szCs w:val="44"/>
        <w:lang w:eastAsia="zh-CN"/>
      </w:rPr>
      <w:t>屯溪区人民政府</w:t>
    </w:r>
    <w:r>
      <w:rPr>
        <w:rFonts w:hint="eastAsia" w:ascii="宋体" w:hAnsi="宋体" w:eastAsia="宋体" w:cs="宋体"/>
        <w:b/>
        <w:bCs/>
        <w:color w:val="005192"/>
        <w:sz w:val="28"/>
        <w:szCs w:val="44"/>
      </w:rPr>
      <w:t>发布</w:t>
    </w:r>
    <w:r>
      <w:rPr>
        <w:rFonts w:hint="eastAsia" w:ascii="宋体" w:hAnsi="宋体" w:cs="宋体"/>
        <w:b/>
        <w:bCs/>
        <w:color w:val="005192"/>
        <w:sz w:val="28"/>
        <w:szCs w:val="44"/>
        <w:lang w:val="en-US" w:eastAsia="zh-CN"/>
      </w:rPr>
      <w:t xml:space="preserve">   </w:t>
    </w:r>
    <w:r>
      <w:rPr>
        <w:rFonts w:hint="eastAsia" w:eastAsia="仿宋"/>
        <w:sz w:val="32"/>
        <w:szCs w:val="48"/>
        <w:lang w:eastAsia="zh-CN"/>
      </w:rPr>
      <w:tab/>
    </w:r>
    <w:r>
      <w:rPr>
        <w:rFonts w:hint="eastAsia" w:eastAsia="仿宋"/>
        <w:sz w:val="32"/>
        <w:szCs w:val="48"/>
        <w:lang w:val="en-US" w:eastAsia="zh-CN"/>
      </w:rPr>
      <w:t xml:space="preserve">   </w:t>
    </w:r>
  </w:p>
  <w:p w14:paraId="65691D81">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31F19">
    <w:pPr>
      <w:pStyle w:val="12"/>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屯溪区人民政府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0030d2ee-8235-497d-a6bc-3a5187fc684e"/>
  </w:docVars>
  <w:rsids>
    <w:rsidRoot w:val="00172A27"/>
    <w:rsid w:val="00172A27"/>
    <w:rsid w:val="001A244C"/>
    <w:rsid w:val="00C21F50"/>
    <w:rsid w:val="00C614A6"/>
    <w:rsid w:val="019E71BD"/>
    <w:rsid w:val="04B679C3"/>
    <w:rsid w:val="080F63D8"/>
    <w:rsid w:val="09341458"/>
    <w:rsid w:val="0B0912D7"/>
    <w:rsid w:val="0B7D65FC"/>
    <w:rsid w:val="10DD0FFF"/>
    <w:rsid w:val="152D2DCA"/>
    <w:rsid w:val="17FF6A0B"/>
    <w:rsid w:val="1DEC284C"/>
    <w:rsid w:val="1E6523AC"/>
    <w:rsid w:val="22440422"/>
    <w:rsid w:val="26B1E579"/>
    <w:rsid w:val="27077982"/>
    <w:rsid w:val="2BBD07DD"/>
    <w:rsid w:val="31A15F24"/>
    <w:rsid w:val="395347B5"/>
    <w:rsid w:val="39A232A0"/>
    <w:rsid w:val="39E745AA"/>
    <w:rsid w:val="3AF7A775"/>
    <w:rsid w:val="3B5A6BBB"/>
    <w:rsid w:val="3C803061"/>
    <w:rsid w:val="3CECFB30"/>
    <w:rsid w:val="3EDA13A6"/>
    <w:rsid w:val="3EF89074"/>
    <w:rsid w:val="3FBF015B"/>
    <w:rsid w:val="3FEDB706"/>
    <w:rsid w:val="3FFFD2C6"/>
    <w:rsid w:val="41B44E02"/>
    <w:rsid w:val="42F058B7"/>
    <w:rsid w:val="436109F6"/>
    <w:rsid w:val="441A38D4"/>
    <w:rsid w:val="4BC77339"/>
    <w:rsid w:val="4C9236C5"/>
    <w:rsid w:val="505C172E"/>
    <w:rsid w:val="52F46F0B"/>
    <w:rsid w:val="53D8014D"/>
    <w:rsid w:val="55E064E0"/>
    <w:rsid w:val="572C6D10"/>
    <w:rsid w:val="5DC34279"/>
    <w:rsid w:val="5EBFF57E"/>
    <w:rsid w:val="5F4A1193"/>
    <w:rsid w:val="5FFF3173"/>
    <w:rsid w:val="608816D1"/>
    <w:rsid w:val="60EF4E7F"/>
    <w:rsid w:val="629D8E0A"/>
    <w:rsid w:val="665233C1"/>
    <w:rsid w:val="67A020DA"/>
    <w:rsid w:val="67F3476A"/>
    <w:rsid w:val="6AD9688B"/>
    <w:rsid w:val="6BFE0CED"/>
    <w:rsid w:val="6D0E3F22"/>
    <w:rsid w:val="6DFD9271"/>
    <w:rsid w:val="6E434274"/>
    <w:rsid w:val="6FFD085F"/>
    <w:rsid w:val="75FD9FF7"/>
    <w:rsid w:val="776D9A4A"/>
    <w:rsid w:val="77EFD1A0"/>
    <w:rsid w:val="7B2F89FD"/>
    <w:rsid w:val="7B4E2810"/>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pPr>
    <w:rPr>
      <w:sz w:val="32"/>
    </w:rPr>
  </w:style>
  <w:style w:type="paragraph" w:styleId="3">
    <w:name w:val="Body Text"/>
    <w:basedOn w:val="1"/>
    <w:next w:val="4"/>
    <w:qFormat/>
    <w:uiPriority w:val="0"/>
    <w:pPr>
      <w:spacing w:before="0" w:after="140" w:line="276" w:lineRule="auto"/>
    </w:pPr>
  </w:style>
  <w:style w:type="paragraph" w:styleId="4">
    <w:name w:val="footer"/>
    <w:basedOn w:val="1"/>
    <w:next w:val="1"/>
    <w:qFormat/>
    <w:uiPriority w:val="0"/>
    <w:pPr>
      <w:tabs>
        <w:tab w:val="center" w:pos="4153"/>
        <w:tab w:val="right" w:pos="8306"/>
      </w:tabs>
      <w:snapToGrid w:val="0"/>
      <w:jc w:val="left"/>
    </w:pPr>
    <w:rPr>
      <w:sz w:val="18"/>
    </w:rPr>
  </w:style>
  <w:style w:type="paragraph" w:styleId="6">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7">
    <w:name w:val="annotation text"/>
    <w:basedOn w:val="1"/>
    <w:qFormat/>
    <w:uiPriority w:val="0"/>
    <w:pPr>
      <w:jc w:val="left"/>
    </w:pPr>
  </w:style>
  <w:style w:type="paragraph" w:styleId="8">
    <w:name w:val="Body Text Indent"/>
    <w:basedOn w:val="1"/>
    <w:next w:val="6"/>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3"/>
    <w:qFormat/>
    <w:uiPriority w:val="0"/>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jc w:val="center"/>
      <w:outlineLvl w:val="0"/>
    </w:pPr>
    <w:rPr>
      <w:rFonts w:ascii="Arial" w:hAnsi="Arial" w:eastAsia="宋体"/>
      <w:b/>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1"/>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2924</Words>
  <Characters>2982</Characters>
  <Lines>5</Lines>
  <Paragraphs>1</Paragraphs>
  <TotalTime>8</TotalTime>
  <ScaleCrop>false</ScaleCrop>
  <LinksUpToDate>false</LinksUpToDate>
  <CharactersWithSpaces>2989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2025-12-18T08:23:12Z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eyJoZGlkIjoiYzNjN2FiNGQwNzAyZmVlZjE2YzQ2ZDJlYjVkYTk4NjciLCJ1c2VySWQiOiIyNzQ2MzgwMzgifQ==</vt:lpwstr>
  </property>
</Properties>
</file>