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ind w:left="0" w:leftChars="0" w:firstLine="0" w:firstLineChars="0"/>
        <w:rPr>
          <w:rFonts w:hint="eastAsia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屯溪区人民政府关于中心城区河道水域禁止洗涤游泳垂钓的通告</w:t>
      </w:r>
    </w:p>
    <w:bookmarkEnd w:id="0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屯政秘〔2022〕6号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为引导和规范城市文明行为，提升全国文明城市形象，切实保护新安江流域生态环境，加快建设生态型国际化世界级休闲度假旅游目的地城市，根据《黄山市文明行为促进条例》等有关规定，屯溪区人民政府决定在中心城区河道水域禁止洗涤、游泳、垂钓，现将有关事项通告如下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一、划定中心城区河道禁止水域范围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1.率水大桥至湖边水利枢纽新安江滨水旅游景区水域；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2.横江大桥以下横江水域；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3.徽州大道以下朱村河水域；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4.高速桥以下佩琅河水域；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5.花山路以下定邦河水域。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二、上述划定的中心城区河道水域内禁止洗涤、游泳、垂钓。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三、因各类应急训练、文体赛事、科研教育等活动需要开展游泳、垂钓的，由举办活动的主管单位报城市管理部门备案，在做好安全保障措施的前提下于规定水域、规定时间开展活动。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四、城市管理、农业农村、生态环境、水利、交通等有关部门要加强监督检查，密切配合，齐抓共管，确保各项管理工作落到实处。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五、各机关团体、企事业单位和社会组织要加强对本单位职工的宣传教育，各镇人民政府、各街道办事处要加强对辖区内干部群众的宣传教育，做好源头管理，确保家喻户晓，令行禁止。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六、违反本通告规定，在禁止水域内洗涤、游泳、垂钓的，由城市管理部门依法予以警告并责令改正，拒不改正的，处五十元以上二百元以下罚款。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七、投诉举报电话：12345（政务服务便民热线）、2595006（城市管理部门）。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八、本通告自发布之日起三十日后施行。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特此通告。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 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附件：中心城区河道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禁止水域范围示意图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                 屯溪区人民政府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               2022年3月21日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中心城区河道禁止水域范围示意图</w:t>
      </w:r>
    </w:p>
    <w:p>
      <w:pPr>
        <w:pStyle w:val="1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5343525" cy="4029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00" w:lineRule="atLeast"/>
        <w:ind w:left="0" w:right="0" w:firstLine="640"/>
        <w:jc w:val="left"/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5194300</wp:posOffset>
              </wp:positionH>
              <wp:positionV relativeFrom="paragraph">
                <wp:posOffset>199390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pt;margin-top:15.7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mZZavWAAAACwEAAA8AAAAAAAAAAQAgAAAAIgAAAGRycy9kb3ducmV2LnhtbFBLAQIUABQA&#10;AAAIAIdO4kBy0PJt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4788" w:leftChars="2280" w:firstLine="6400" w:firstLineChars="20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241300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9pt;margin-top:19pt;height:0.15pt;width:442.25pt;z-index:251660288;mso-width-relative:page;mso-height-relative:page;" filled="f" stroked="t" coordsize="21600,21600" o:gfxdata="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mj4kdUA&#10;AAAIAQAADwAAAAAAAAABACAAAAAiAAAAZHJzL2Rvd25yZXYueG1sUEsBAhQAFAAAAAgAh07iQPA2&#10;LSnpAQAAtQMAAA4AAAAAAAAAAQAgAAAAJA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屯溪区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屯溪区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YmU5OTFjZjgyNWUxZjkzNDBiNzkxNWI1N2UzMDMifQ=="/>
  </w:docVars>
  <w:rsids>
    <w:rsidRoot w:val="00172A27"/>
    <w:rsid w:val="00172A27"/>
    <w:rsid w:val="001A244C"/>
    <w:rsid w:val="00C21F50"/>
    <w:rsid w:val="00C614A6"/>
    <w:rsid w:val="019E71BD"/>
    <w:rsid w:val="048A5804"/>
    <w:rsid w:val="04AE12ED"/>
    <w:rsid w:val="04B679C3"/>
    <w:rsid w:val="080F63D8"/>
    <w:rsid w:val="09341458"/>
    <w:rsid w:val="0B0912D7"/>
    <w:rsid w:val="0D907891"/>
    <w:rsid w:val="0EA26937"/>
    <w:rsid w:val="152D2DCA"/>
    <w:rsid w:val="17FF6A0B"/>
    <w:rsid w:val="18812A66"/>
    <w:rsid w:val="19AE2BC2"/>
    <w:rsid w:val="1AA749A0"/>
    <w:rsid w:val="1DEC284C"/>
    <w:rsid w:val="1E6523AC"/>
    <w:rsid w:val="2219494D"/>
    <w:rsid w:val="22440422"/>
    <w:rsid w:val="27077982"/>
    <w:rsid w:val="31A15F24"/>
    <w:rsid w:val="35E9CD16"/>
    <w:rsid w:val="368D3E2A"/>
    <w:rsid w:val="378E6E40"/>
    <w:rsid w:val="395347B5"/>
    <w:rsid w:val="39A232A0"/>
    <w:rsid w:val="39E745AA"/>
    <w:rsid w:val="3B5A6BBB"/>
    <w:rsid w:val="3EDA13A6"/>
    <w:rsid w:val="3FBF015B"/>
    <w:rsid w:val="420B38E3"/>
    <w:rsid w:val="42F058B7"/>
    <w:rsid w:val="436109F6"/>
    <w:rsid w:val="441A38D4"/>
    <w:rsid w:val="48B814CD"/>
    <w:rsid w:val="4A7D4C52"/>
    <w:rsid w:val="4BC77339"/>
    <w:rsid w:val="4BDF0EBD"/>
    <w:rsid w:val="4C9236C5"/>
    <w:rsid w:val="505C172E"/>
    <w:rsid w:val="52F46F0B"/>
    <w:rsid w:val="530A1CF5"/>
    <w:rsid w:val="53D8014D"/>
    <w:rsid w:val="55E064E0"/>
    <w:rsid w:val="572C6D10"/>
    <w:rsid w:val="5BA57700"/>
    <w:rsid w:val="5DC34279"/>
    <w:rsid w:val="5FFF3173"/>
    <w:rsid w:val="608816D1"/>
    <w:rsid w:val="60EF4E7F"/>
    <w:rsid w:val="665233C1"/>
    <w:rsid w:val="67A020DA"/>
    <w:rsid w:val="6AD9688B"/>
    <w:rsid w:val="6B0356AA"/>
    <w:rsid w:val="6C7720FE"/>
    <w:rsid w:val="6D0E3F22"/>
    <w:rsid w:val="6DFD9271"/>
    <w:rsid w:val="776D9A4A"/>
    <w:rsid w:val="7B2F89FD"/>
    <w:rsid w:val="7BC96FE5"/>
    <w:rsid w:val="7C9011D9"/>
    <w:rsid w:val="7DC651C5"/>
    <w:rsid w:val="7DEB7CC4"/>
    <w:rsid w:val="7FCC2834"/>
    <w:rsid w:val="7FD617F4"/>
    <w:rsid w:val="7FF8A6B0"/>
    <w:rsid w:val="7FFFD082"/>
    <w:rsid w:val="8D6E52C4"/>
    <w:rsid w:val="9DFF788F"/>
    <w:rsid w:val="D5FF4828"/>
    <w:rsid w:val="EDFF7473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qFormat/>
    <w:uiPriority w:val="99"/>
    <w:pPr>
      <w:ind w:firstLine="420" w:firstLineChars="200"/>
    </w:p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character" w:styleId="20">
    <w:name w:val="annotation reference"/>
    <w:basedOn w:val="18"/>
    <w:qFormat/>
    <w:uiPriority w:val="0"/>
    <w:rPr>
      <w:sz w:val="21"/>
      <w:szCs w:val="21"/>
    </w:rPr>
  </w:style>
  <w:style w:type="paragraph" w:customStyle="1" w:styleId="21">
    <w:name w:val="BodyText1I"/>
    <w:basedOn w:val="22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2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3">
    <w:name w:val="批注框文本 Char"/>
    <w:basedOn w:val="18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7">
    <w:name w:val="Body text|1"/>
    <w:basedOn w:val="1"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28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1305</Words>
  <Characters>1312</Characters>
  <Lines>5</Lines>
  <Paragraphs>1</Paragraphs>
  <TotalTime>0</TotalTime>
  <ScaleCrop>false</ScaleCrop>
  <LinksUpToDate>false</LinksUpToDate>
  <CharactersWithSpaces>1408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2021-09-15T18:41:00Z</dcterms:created>
  <dc:creator>t</dc:creator>
  <cp:lastModifiedBy>小蕤转转转</cp:lastModifiedBy>
  <cp:lastPrinted>2021-11-01T19:30:00Z</cp:lastPrinted>
  <dcterms:modified xsi:type="dcterms:W3CDTF">2022-12-06T09:16:13Z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91A22975C9124A488AC747A351F73405</vt:lpwstr>
  </property>
</Properties>
</file>